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ACC75" w14:textId="77777777" w:rsidR="00BF6D2E" w:rsidRPr="00D425E3" w:rsidRDefault="00BF6D2E" w:rsidP="00BF6D2E">
      <w:pPr>
        <w:spacing w:line="240" w:lineRule="auto"/>
        <w:rPr>
          <w:sz w:val="2"/>
        </w:rPr>
        <w:sectPr w:rsidR="00BF6D2E" w:rsidRPr="00D425E3" w:rsidSect="00D51D03">
          <w:headerReference w:type="even" r:id="rId8"/>
          <w:headerReference w:type="default" r:id="rId9"/>
          <w:footerReference w:type="even" r:id="rId10"/>
          <w:footerReference w:type="default" r:id="rId11"/>
          <w:headerReference w:type="first" r:id="rId12"/>
          <w:footerReference w:type="first" r:id="rId13"/>
          <w:pgSz w:w="12240" w:h="15840"/>
          <w:pgMar w:top="1440" w:right="1200" w:bottom="1728" w:left="1200" w:header="432" w:footer="576" w:gutter="0"/>
          <w:cols w:space="720"/>
          <w:titlePg/>
          <w:docGrid w:linePitch="360"/>
        </w:sectPr>
      </w:pPr>
      <w:bookmarkStart w:id="0" w:name="_GoBack"/>
      <w:bookmarkEnd w:id="0"/>
    </w:p>
    <w:p w14:paraId="5CB29FDC" w14:textId="77777777" w:rsidR="00D51D03" w:rsidRPr="00D425E3" w:rsidRDefault="00D51D03" w:rsidP="00D51D03">
      <w:pPr>
        <w:pStyle w:val="Session"/>
      </w:pPr>
      <w:r w:rsidRPr="00D425E3">
        <w:t xml:space="preserve">Soixante-quinzième session </w:t>
      </w:r>
    </w:p>
    <w:p w14:paraId="4BAB967C" w14:textId="1F94C259" w:rsidR="00D51D03" w:rsidRPr="00D425E3" w:rsidRDefault="00D51D03" w:rsidP="00D51D03">
      <w:pPr>
        <w:pStyle w:val="AgendaItemNormal"/>
        <w:rPr>
          <w:b/>
          <w:lang w:val="fr-FR"/>
        </w:rPr>
      </w:pPr>
      <w:r w:rsidRPr="00D425E3">
        <w:rPr>
          <w:lang w:val="fr-FR"/>
        </w:rPr>
        <w:t>Point 42 de l</w:t>
      </w:r>
      <w:r w:rsidR="00B37147" w:rsidRPr="00D425E3">
        <w:rPr>
          <w:lang w:val="fr-FR"/>
        </w:rPr>
        <w:t>’</w:t>
      </w:r>
      <w:r w:rsidRPr="00D425E3">
        <w:rPr>
          <w:lang w:val="fr-FR"/>
        </w:rPr>
        <w:t xml:space="preserve">ordre du jour </w:t>
      </w:r>
    </w:p>
    <w:p w14:paraId="10B8EB8A" w14:textId="314D67B9" w:rsidR="00D51D03" w:rsidRPr="00D425E3" w:rsidRDefault="00D51D03" w:rsidP="00D51D03">
      <w:pPr>
        <w:pStyle w:val="AgendaTitleH2"/>
        <w:ind w:right="4620"/>
        <w:rPr>
          <w:lang w:val="fr-FR"/>
        </w:rPr>
      </w:pPr>
      <w:r w:rsidRPr="00D425E3">
        <w:rPr>
          <w:lang w:val="fr-FR"/>
        </w:rPr>
        <w:t>Nécessité de lever le blocus économique, commercial et financier imposé à Cuba par les États-Unis d</w:t>
      </w:r>
      <w:r w:rsidR="00B37147" w:rsidRPr="00D425E3">
        <w:rPr>
          <w:lang w:val="fr-FR"/>
        </w:rPr>
        <w:t>’</w:t>
      </w:r>
      <w:r w:rsidRPr="00D425E3">
        <w:rPr>
          <w:lang w:val="fr-FR"/>
        </w:rPr>
        <w:t>Amérique</w:t>
      </w:r>
    </w:p>
    <w:p w14:paraId="277904BD" w14:textId="68B787D8" w:rsidR="00D51D03" w:rsidRPr="00D425E3" w:rsidRDefault="00D51D03" w:rsidP="00D51D03">
      <w:pPr>
        <w:pStyle w:val="SingleTxt"/>
        <w:spacing w:after="0" w:line="120" w:lineRule="exact"/>
        <w:rPr>
          <w:sz w:val="10"/>
          <w:lang w:val="fr-FR"/>
        </w:rPr>
      </w:pPr>
    </w:p>
    <w:p w14:paraId="63E36AB8" w14:textId="2681FB59" w:rsidR="00D51D03" w:rsidRPr="00D425E3" w:rsidRDefault="00D51D03" w:rsidP="00D51D03">
      <w:pPr>
        <w:pStyle w:val="SingleTxt"/>
        <w:spacing w:after="0" w:line="120" w:lineRule="exact"/>
        <w:rPr>
          <w:sz w:val="10"/>
          <w:lang w:val="fr-FR"/>
        </w:rPr>
      </w:pPr>
    </w:p>
    <w:p w14:paraId="63944B63" w14:textId="4B1D0ECC" w:rsidR="00D51D03" w:rsidRPr="00D425E3" w:rsidRDefault="00D51D03" w:rsidP="00D51D03">
      <w:pPr>
        <w:pStyle w:val="SingleTxt"/>
        <w:spacing w:after="0" w:line="120" w:lineRule="exact"/>
        <w:rPr>
          <w:sz w:val="10"/>
          <w:lang w:val="fr-FR"/>
        </w:rPr>
      </w:pPr>
    </w:p>
    <w:p w14:paraId="5CD417A2" w14:textId="2E66F276" w:rsidR="00D51D03" w:rsidRPr="00D425E3" w:rsidRDefault="00D51D03" w:rsidP="00D51D03">
      <w:pPr>
        <w:pStyle w:val="TitleH1"/>
        <w:ind w:right="1260"/>
        <w:rPr>
          <w:lang w:val="fr-FR"/>
        </w:rPr>
      </w:pPr>
      <w:r w:rsidRPr="00D425E3">
        <w:rPr>
          <w:lang w:val="fr-FR"/>
        </w:rPr>
        <w:tab/>
      </w:r>
      <w:r w:rsidRPr="00D425E3">
        <w:rPr>
          <w:lang w:val="fr-FR"/>
        </w:rPr>
        <w:tab/>
        <w:t>Nécessité de lever le blocus économique, commercial et financier imposé à Cuba par les États-Unis d</w:t>
      </w:r>
      <w:r w:rsidR="00B37147" w:rsidRPr="00D425E3">
        <w:rPr>
          <w:lang w:val="fr-FR"/>
        </w:rPr>
        <w:t>’</w:t>
      </w:r>
      <w:r w:rsidRPr="00D425E3">
        <w:rPr>
          <w:lang w:val="fr-FR"/>
        </w:rPr>
        <w:t xml:space="preserve">Amérique </w:t>
      </w:r>
    </w:p>
    <w:p w14:paraId="0719EAC5" w14:textId="08503C52" w:rsidR="00D51D03" w:rsidRPr="00D425E3" w:rsidRDefault="00D51D03" w:rsidP="00D51D03">
      <w:pPr>
        <w:pStyle w:val="SingleTxt"/>
        <w:spacing w:after="0" w:line="120" w:lineRule="exact"/>
        <w:rPr>
          <w:sz w:val="10"/>
          <w:lang w:val="fr-FR"/>
        </w:rPr>
      </w:pPr>
    </w:p>
    <w:p w14:paraId="0926C479" w14:textId="2F4C0FA7" w:rsidR="00D51D03" w:rsidRPr="00D425E3" w:rsidRDefault="00D51D03" w:rsidP="00D51D03">
      <w:pPr>
        <w:pStyle w:val="SingleTxt"/>
        <w:spacing w:after="0" w:line="120" w:lineRule="exact"/>
        <w:rPr>
          <w:sz w:val="10"/>
          <w:lang w:val="fr-FR"/>
        </w:rPr>
      </w:pPr>
    </w:p>
    <w:p w14:paraId="1B9A1ED4" w14:textId="36432399" w:rsidR="00D51D03" w:rsidRPr="00D425E3" w:rsidRDefault="00D51D03" w:rsidP="00D51D03">
      <w:pPr>
        <w:pStyle w:val="TitleH1"/>
        <w:ind w:right="1260"/>
        <w:rPr>
          <w:lang w:val="fr-FR"/>
        </w:rPr>
      </w:pPr>
      <w:r w:rsidRPr="00D425E3">
        <w:rPr>
          <w:lang w:val="fr-FR"/>
        </w:rPr>
        <w:tab/>
      </w:r>
      <w:r w:rsidRPr="00D425E3">
        <w:rPr>
          <w:lang w:val="fr-FR"/>
        </w:rPr>
        <w:tab/>
        <w:t>Rapport du Secrétaire général</w:t>
      </w:r>
    </w:p>
    <w:p w14:paraId="029D66F6" w14:textId="48B97EF2" w:rsidR="00D51D03" w:rsidRPr="00D425E3" w:rsidRDefault="00D51D03" w:rsidP="00D51D03">
      <w:pPr>
        <w:pStyle w:val="SingleTxt"/>
        <w:spacing w:after="0" w:line="120" w:lineRule="exact"/>
        <w:rPr>
          <w:sz w:val="10"/>
          <w:lang w:val="fr-FR"/>
        </w:rPr>
      </w:pPr>
    </w:p>
    <w:p w14:paraId="0F47E601" w14:textId="544F70E8" w:rsidR="00D51D03" w:rsidRPr="00D425E3" w:rsidRDefault="00D51D03" w:rsidP="00D51D03">
      <w:pPr>
        <w:pStyle w:val="SingleTxt"/>
        <w:spacing w:after="0" w:line="120" w:lineRule="exact"/>
        <w:rPr>
          <w:sz w:val="10"/>
          <w:lang w:val="fr-FR"/>
        </w:rPr>
      </w:pPr>
    </w:p>
    <w:p w14:paraId="6B83AAD4" w14:textId="3E212356" w:rsidR="00D51D03" w:rsidRPr="00D425E3" w:rsidRDefault="00D51D03" w:rsidP="00D51D03">
      <w:pPr>
        <w:pStyle w:val="TitleH2"/>
        <w:ind w:left="1267" w:right="1260" w:hanging="1267"/>
        <w:rPr>
          <w:lang w:val="fr-FR"/>
        </w:rPr>
      </w:pPr>
      <w:r w:rsidRPr="00D425E3">
        <w:rPr>
          <w:lang w:val="fr-FR"/>
        </w:rPr>
        <w:tab/>
      </w:r>
      <w:r w:rsidRPr="00D425E3">
        <w:rPr>
          <w:lang w:val="fr-FR"/>
        </w:rPr>
        <w:tab/>
        <w:t>Additif</w:t>
      </w:r>
    </w:p>
    <w:p w14:paraId="762B6CD1" w14:textId="63078E6D" w:rsidR="00D51D03" w:rsidRPr="00D425E3" w:rsidRDefault="00D51D03" w:rsidP="00D51D03">
      <w:pPr>
        <w:pStyle w:val="SingleTxt"/>
        <w:spacing w:after="0" w:line="120" w:lineRule="exact"/>
        <w:rPr>
          <w:sz w:val="10"/>
        </w:rPr>
      </w:pPr>
    </w:p>
    <w:p w14:paraId="33EFE668" w14:textId="1566F275" w:rsidR="00D51D03" w:rsidRPr="00D425E3" w:rsidRDefault="00D51D03" w:rsidP="00D51D03">
      <w:pPr>
        <w:pStyle w:val="SingleTxt"/>
        <w:spacing w:after="0" w:line="120" w:lineRule="exact"/>
        <w:rPr>
          <w:sz w:val="10"/>
        </w:rPr>
      </w:pPr>
    </w:p>
    <w:p w14:paraId="297041B4" w14:textId="52957001" w:rsidR="00D51D03" w:rsidRPr="00D425E3" w:rsidRDefault="00D51D03" w:rsidP="00D51D03">
      <w:pPr>
        <w:pStyle w:val="SingleTxt"/>
        <w:spacing w:after="0" w:line="120" w:lineRule="exact"/>
        <w:rPr>
          <w:sz w:val="10"/>
        </w:rPr>
      </w:pPr>
    </w:p>
    <w:p w14:paraId="457A25C2" w14:textId="77777777" w:rsidR="00D51D03" w:rsidRPr="00DC7C8E" w:rsidRDefault="00D51D03" w:rsidP="00D51D03">
      <w:pPr>
        <w:pStyle w:val="HCh0"/>
        <w:spacing w:after="120"/>
        <w:rPr>
          <w:lang w:val="fr-CA"/>
        </w:rPr>
      </w:pPr>
      <w:r w:rsidRPr="00DC7C8E">
        <w:rPr>
          <w:lang w:val="fr-CA"/>
        </w:rPr>
        <w:t>Table des matières</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D51D03" w:rsidRPr="00D425E3" w14:paraId="5572C168" w14:textId="77777777" w:rsidTr="00D51D03">
        <w:tc>
          <w:tcPr>
            <w:tcW w:w="1060" w:type="dxa"/>
            <w:shd w:val="clear" w:color="auto" w:fill="auto"/>
          </w:tcPr>
          <w:p w14:paraId="4E7B97FD" w14:textId="2A73B6D0" w:rsidR="00D51D03" w:rsidRPr="00D425E3" w:rsidRDefault="00D51D03" w:rsidP="00D51D03">
            <w:pPr>
              <w:spacing w:after="120" w:line="240" w:lineRule="auto"/>
              <w:jc w:val="right"/>
              <w:rPr>
                <w:i/>
                <w:sz w:val="14"/>
              </w:rPr>
            </w:pPr>
          </w:p>
        </w:tc>
        <w:tc>
          <w:tcPr>
            <w:tcW w:w="7315" w:type="dxa"/>
            <w:shd w:val="clear" w:color="auto" w:fill="auto"/>
          </w:tcPr>
          <w:p w14:paraId="7682A929" w14:textId="77777777" w:rsidR="00D51D03" w:rsidRPr="00D425E3" w:rsidRDefault="00D51D03" w:rsidP="00D51D03">
            <w:pPr>
              <w:spacing w:after="120" w:line="240" w:lineRule="auto"/>
              <w:rPr>
                <w:i/>
                <w:sz w:val="14"/>
              </w:rPr>
            </w:pPr>
          </w:p>
        </w:tc>
        <w:tc>
          <w:tcPr>
            <w:tcW w:w="994" w:type="dxa"/>
            <w:shd w:val="clear" w:color="auto" w:fill="auto"/>
          </w:tcPr>
          <w:p w14:paraId="0DA08B73" w14:textId="2D3A1001" w:rsidR="00D51D03" w:rsidRPr="00D425E3" w:rsidRDefault="00D51D03" w:rsidP="00D51D03">
            <w:pPr>
              <w:spacing w:after="120" w:line="240" w:lineRule="auto"/>
              <w:jc w:val="right"/>
              <w:rPr>
                <w:i/>
                <w:sz w:val="14"/>
              </w:rPr>
            </w:pPr>
          </w:p>
        </w:tc>
        <w:tc>
          <w:tcPr>
            <w:tcW w:w="533" w:type="dxa"/>
            <w:shd w:val="clear" w:color="auto" w:fill="auto"/>
          </w:tcPr>
          <w:p w14:paraId="63127080" w14:textId="3435B5D6" w:rsidR="00D51D03" w:rsidRPr="00D425E3" w:rsidRDefault="00D51D03" w:rsidP="00D51D03">
            <w:pPr>
              <w:spacing w:after="120" w:line="240" w:lineRule="auto"/>
              <w:jc w:val="right"/>
              <w:rPr>
                <w:i/>
                <w:sz w:val="14"/>
              </w:rPr>
            </w:pPr>
            <w:r w:rsidRPr="00D425E3">
              <w:rPr>
                <w:i/>
                <w:sz w:val="14"/>
              </w:rPr>
              <w:t>Page</w:t>
            </w:r>
          </w:p>
        </w:tc>
      </w:tr>
      <w:tr w:rsidR="00EB18C4" w:rsidRPr="00D425E3" w14:paraId="4BFF79CB" w14:textId="77777777" w:rsidTr="00EB18C4">
        <w:tc>
          <w:tcPr>
            <w:tcW w:w="9369" w:type="dxa"/>
            <w:gridSpan w:val="3"/>
            <w:shd w:val="clear" w:color="auto" w:fill="auto"/>
          </w:tcPr>
          <w:p w14:paraId="513A2133" w14:textId="562F52FE" w:rsidR="00EB18C4" w:rsidRPr="00D425E3" w:rsidRDefault="00EB18C4" w:rsidP="00EB18C4">
            <w:pPr>
              <w:pStyle w:val="Prrafodelista"/>
              <w:numPr>
                <w:ilvl w:val="0"/>
                <w:numId w:val="29"/>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pPr>
            <w:r w:rsidRPr="00D425E3">
              <w:t>Réponses reçues des gouvernements</w:t>
            </w:r>
            <w:r w:rsidRPr="00D425E3">
              <w:rPr>
                <w:spacing w:val="60"/>
                <w:sz w:val="17"/>
              </w:rPr>
              <w:tab/>
            </w:r>
          </w:p>
        </w:tc>
        <w:tc>
          <w:tcPr>
            <w:tcW w:w="533" w:type="dxa"/>
            <w:shd w:val="clear" w:color="auto" w:fill="auto"/>
            <w:vAlign w:val="bottom"/>
          </w:tcPr>
          <w:p w14:paraId="3E1879A5" w14:textId="708FB0AA" w:rsidR="00EB18C4" w:rsidRPr="00D425E3" w:rsidRDefault="00EB18C4" w:rsidP="00EB18C4">
            <w:pPr>
              <w:spacing w:after="120"/>
              <w:ind w:right="40"/>
              <w:jc w:val="right"/>
            </w:pPr>
            <w:r w:rsidRPr="00D425E3">
              <w:t>2</w:t>
            </w:r>
          </w:p>
        </w:tc>
      </w:tr>
      <w:tr w:rsidR="00EB18C4" w:rsidRPr="00D425E3" w14:paraId="6106B9E5" w14:textId="77777777" w:rsidTr="00EB18C4">
        <w:tc>
          <w:tcPr>
            <w:tcW w:w="9369" w:type="dxa"/>
            <w:gridSpan w:val="3"/>
            <w:shd w:val="clear" w:color="auto" w:fill="auto"/>
          </w:tcPr>
          <w:p w14:paraId="05E2FED8" w14:textId="7EF04B53" w:rsidR="00EB18C4" w:rsidRPr="00D425E3" w:rsidRDefault="00CD5C34" w:rsidP="00CD5C34">
            <w:pPr>
              <w:pStyle w:val="Prrafodelista"/>
              <w:tabs>
                <w:tab w:val="left" w:pos="1296"/>
                <w:tab w:val="left" w:pos="1728"/>
                <w:tab w:val="right" w:leader="dot" w:pos="9360"/>
              </w:tabs>
              <w:suppressAutoHyphens/>
              <w:spacing w:after="120"/>
              <w:ind w:left="1296" w:hanging="216"/>
            </w:pPr>
            <w:r w:rsidRPr="00D425E3">
              <w:rPr>
                <w:lang w:val="fr-FR"/>
              </w:rPr>
              <w:tab/>
            </w:r>
            <w:r w:rsidR="00EB18C4" w:rsidRPr="00D425E3">
              <w:rPr>
                <w:lang w:val="fr-FR"/>
              </w:rPr>
              <w:t>Cuba</w:t>
            </w:r>
            <w:r w:rsidR="00EB18C4" w:rsidRPr="00D425E3">
              <w:rPr>
                <w:spacing w:val="60"/>
                <w:sz w:val="17"/>
                <w:lang w:val="fr-FR"/>
              </w:rPr>
              <w:tab/>
            </w:r>
          </w:p>
        </w:tc>
        <w:tc>
          <w:tcPr>
            <w:tcW w:w="533" w:type="dxa"/>
            <w:shd w:val="clear" w:color="auto" w:fill="auto"/>
            <w:vAlign w:val="bottom"/>
          </w:tcPr>
          <w:p w14:paraId="7057528C" w14:textId="13F4E280" w:rsidR="00EB18C4" w:rsidRPr="00D425E3" w:rsidRDefault="00EB18C4" w:rsidP="00EB18C4">
            <w:pPr>
              <w:spacing w:after="120"/>
              <w:ind w:right="40"/>
              <w:jc w:val="right"/>
            </w:pPr>
            <w:r w:rsidRPr="00D425E3">
              <w:t>2</w:t>
            </w:r>
          </w:p>
        </w:tc>
      </w:tr>
    </w:tbl>
    <w:p w14:paraId="49F6B97E" w14:textId="11F4A347" w:rsidR="00D51D03" w:rsidRPr="00D425E3" w:rsidRDefault="00D51D03" w:rsidP="00D51D03"/>
    <w:p w14:paraId="71289D40" w14:textId="77777777" w:rsidR="00D51D03" w:rsidRPr="00D425E3" w:rsidRDefault="00D51D03">
      <w:pPr>
        <w:spacing w:after="200" w:line="276" w:lineRule="auto"/>
      </w:pPr>
      <w:r w:rsidRPr="00D425E3">
        <w:br w:type="page"/>
      </w:r>
    </w:p>
    <w:p w14:paraId="4A39D6EB" w14:textId="30A9D415" w:rsidR="00D51D03" w:rsidRPr="00D425E3" w:rsidRDefault="0030272E" w:rsidP="0030272E">
      <w:pPr>
        <w:pStyle w:val="HCh0"/>
        <w:ind w:left="1267" w:right="1260" w:hanging="1267"/>
      </w:pPr>
      <w:r w:rsidRPr="00D425E3">
        <w:lastRenderedPageBreak/>
        <w:tab/>
      </w:r>
      <w:r w:rsidR="00B37147" w:rsidRPr="00D425E3">
        <w:t>I</w:t>
      </w:r>
      <w:r w:rsidR="00D51D03" w:rsidRPr="00D425E3">
        <w:t>I.</w:t>
      </w:r>
      <w:r w:rsidR="00D51D03" w:rsidRPr="00D425E3">
        <w:tab/>
      </w:r>
      <w:proofErr w:type="spellStart"/>
      <w:r w:rsidR="00D51D03" w:rsidRPr="00D425E3">
        <w:t>Réponses</w:t>
      </w:r>
      <w:proofErr w:type="spellEnd"/>
      <w:r w:rsidR="00D51D03" w:rsidRPr="00D425E3">
        <w:t xml:space="preserve"> </w:t>
      </w:r>
      <w:proofErr w:type="spellStart"/>
      <w:r w:rsidR="00D51D03" w:rsidRPr="00D425E3">
        <w:t>reçues</w:t>
      </w:r>
      <w:proofErr w:type="spellEnd"/>
      <w:r w:rsidR="00D51D03" w:rsidRPr="00D425E3">
        <w:t xml:space="preserve"> des </w:t>
      </w:r>
      <w:proofErr w:type="spellStart"/>
      <w:r w:rsidR="00D51D03" w:rsidRPr="00D425E3">
        <w:t>gouvernements</w:t>
      </w:r>
      <w:proofErr w:type="spellEnd"/>
      <w:r w:rsidR="00D51D03" w:rsidRPr="00D425E3">
        <w:t xml:space="preserve"> </w:t>
      </w:r>
    </w:p>
    <w:p w14:paraId="0995A61D" w14:textId="4A9EBF69" w:rsidR="0030272E" w:rsidRPr="00D425E3" w:rsidRDefault="0030272E" w:rsidP="0030272E">
      <w:pPr>
        <w:pStyle w:val="SingleTxt"/>
        <w:spacing w:after="0" w:line="120" w:lineRule="exact"/>
        <w:rPr>
          <w:sz w:val="10"/>
          <w:lang w:val="en-GB"/>
        </w:rPr>
      </w:pPr>
    </w:p>
    <w:p w14:paraId="4721EAAC" w14:textId="77777777" w:rsidR="0030272E" w:rsidRPr="00D425E3" w:rsidRDefault="0030272E" w:rsidP="0030272E">
      <w:pPr>
        <w:pStyle w:val="SingleTxt"/>
        <w:spacing w:after="0" w:line="120" w:lineRule="exact"/>
        <w:rPr>
          <w:sz w:val="10"/>
          <w:lang w:val="en-GB"/>
        </w:rPr>
      </w:pPr>
    </w:p>
    <w:p w14:paraId="5F963CD6" w14:textId="562021F1" w:rsidR="00D51D03" w:rsidRPr="00D425E3" w:rsidRDefault="0030272E" w:rsidP="0030272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D425E3">
        <w:rPr>
          <w:lang w:val="fr-FR"/>
        </w:rPr>
        <w:tab/>
      </w:r>
      <w:r w:rsidRPr="00D425E3">
        <w:rPr>
          <w:lang w:val="fr-FR"/>
        </w:rPr>
        <w:tab/>
      </w:r>
      <w:r w:rsidR="00D51D03" w:rsidRPr="00D425E3">
        <w:rPr>
          <w:lang w:val="fr-FR"/>
        </w:rPr>
        <w:t>Cuba</w:t>
      </w:r>
    </w:p>
    <w:p w14:paraId="29C308B2" w14:textId="5929524A" w:rsidR="0030272E" w:rsidRPr="00D425E3" w:rsidRDefault="0030272E" w:rsidP="00982F46">
      <w:pPr>
        <w:pStyle w:val="SingleTxt"/>
        <w:spacing w:after="0" w:line="120" w:lineRule="exact"/>
        <w:rPr>
          <w:sz w:val="10"/>
          <w:lang w:val="fr-FR"/>
        </w:rPr>
      </w:pPr>
    </w:p>
    <w:p w14:paraId="2146C4D7" w14:textId="77777777" w:rsidR="00982F46" w:rsidRPr="00D425E3" w:rsidRDefault="00982F46" w:rsidP="0030272E">
      <w:pPr>
        <w:pStyle w:val="SingleTxt"/>
        <w:spacing w:after="0" w:line="120" w:lineRule="exact"/>
        <w:rPr>
          <w:sz w:val="10"/>
          <w:lang w:val="fr-FR"/>
        </w:rPr>
      </w:pPr>
    </w:p>
    <w:p w14:paraId="62AB68E0" w14:textId="749FC733" w:rsidR="00D51D03" w:rsidRPr="00D425E3" w:rsidRDefault="00D51D03" w:rsidP="00B37147">
      <w:pPr>
        <w:pStyle w:val="SingleTxt"/>
        <w:jc w:val="right"/>
        <w:rPr>
          <w:lang w:val="fr-FR"/>
        </w:rPr>
      </w:pPr>
      <w:r w:rsidRPr="00D425E3">
        <w:rPr>
          <w:lang w:val="fr-FR"/>
        </w:rPr>
        <w:t>[Original</w:t>
      </w:r>
      <w:r w:rsidR="00B37147" w:rsidRPr="00D425E3">
        <w:rPr>
          <w:lang w:val="fr-FR"/>
        </w:rPr>
        <w:t> </w:t>
      </w:r>
      <w:r w:rsidRPr="00D425E3">
        <w:rPr>
          <w:lang w:val="fr-FR"/>
        </w:rPr>
        <w:t xml:space="preserve">: espagnol] </w:t>
      </w:r>
      <w:r w:rsidR="0030272E" w:rsidRPr="00D425E3">
        <w:rPr>
          <w:lang w:val="fr-FR"/>
        </w:rPr>
        <w:br/>
      </w:r>
      <w:r w:rsidRPr="00D425E3">
        <w:rPr>
          <w:lang w:val="fr-FR"/>
        </w:rPr>
        <w:t>[5 mai 2021]</w:t>
      </w:r>
    </w:p>
    <w:p w14:paraId="19598FDF" w14:textId="1BF123C6" w:rsidR="0030272E" w:rsidRPr="00D425E3" w:rsidRDefault="0030272E" w:rsidP="0030272E">
      <w:pPr>
        <w:pStyle w:val="SingleTxt"/>
        <w:spacing w:after="0" w:line="120" w:lineRule="exact"/>
        <w:rPr>
          <w:sz w:val="10"/>
          <w:lang w:val="fr-FR"/>
        </w:rPr>
      </w:pPr>
    </w:p>
    <w:p w14:paraId="7BDA2F05" w14:textId="2BE06CFA" w:rsidR="00D51D03" w:rsidRPr="00D425E3" w:rsidRDefault="0030272E" w:rsidP="0030272E">
      <w:pPr>
        <w:pStyle w:val="SingleTxt"/>
        <w:rPr>
          <w:lang w:val="fr-FR"/>
        </w:rPr>
      </w:pPr>
      <w:r w:rsidRPr="00D425E3">
        <w:rPr>
          <w:lang w:val="fr-FR"/>
        </w:rPr>
        <w:tab/>
      </w:r>
      <w:r w:rsidR="00D51D03" w:rsidRPr="00D425E3">
        <w:rPr>
          <w:lang w:val="fr-FR"/>
        </w:rPr>
        <w:t xml:space="preserve">Le présent additif contient une mise à jour de la réponse de Cuba concernant la résolution </w:t>
      </w:r>
      <w:hyperlink r:id="rId14" w:history="1">
        <w:r w:rsidR="00D51D03" w:rsidRPr="00D425E3">
          <w:rPr>
            <w:rStyle w:val="Hipervnculo"/>
            <w:lang w:val="fr-FR"/>
          </w:rPr>
          <w:t>74/7</w:t>
        </w:r>
      </w:hyperlink>
      <w:r w:rsidR="00D51D03" w:rsidRPr="00D425E3">
        <w:rPr>
          <w:lang w:val="fr-FR"/>
        </w:rPr>
        <w:t xml:space="preserve"> de l</w:t>
      </w:r>
      <w:r w:rsidR="00B37147" w:rsidRPr="00D425E3">
        <w:rPr>
          <w:lang w:val="fr-FR"/>
        </w:rPr>
        <w:t>’</w:t>
      </w:r>
      <w:r w:rsidR="00D51D03" w:rsidRPr="00D425E3">
        <w:rPr>
          <w:lang w:val="fr-FR"/>
        </w:rPr>
        <w:t>Assemblée générale, intitulée « Nécessité de lever le blocus économique, commercial et financier imposé à Cuba par les États-Unis d</w:t>
      </w:r>
      <w:r w:rsidR="00B37147" w:rsidRPr="00D425E3">
        <w:rPr>
          <w:lang w:val="fr-FR"/>
        </w:rPr>
        <w:t>’</w:t>
      </w:r>
      <w:r w:rsidR="00D51D03" w:rsidRPr="00D425E3">
        <w:rPr>
          <w:lang w:val="fr-FR"/>
        </w:rPr>
        <w:t>Amérique », et fait état des principales répercussions de cette politique constatées entre avril et décembre 2020. Au cours de la période susmentionnée, le Gouvernement des États-Unis d</w:t>
      </w:r>
      <w:r w:rsidR="00B37147" w:rsidRPr="00D425E3">
        <w:rPr>
          <w:lang w:val="fr-FR"/>
        </w:rPr>
        <w:t>’</w:t>
      </w:r>
      <w:r w:rsidR="00D51D03" w:rsidRPr="00D425E3">
        <w:rPr>
          <w:lang w:val="fr-FR"/>
        </w:rPr>
        <w:t xml:space="preserve">Amérique a renforcé le blocus de manière opportuniste et inédite, dans le contexte des difficultés provoquées par la pandémie de maladie à coronavirus (COVID-19). </w:t>
      </w:r>
    </w:p>
    <w:p w14:paraId="5B8BAFA3" w14:textId="502E1B06" w:rsidR="00D51D03" w:rsidRPr="00D425E3" w:rsidRDefault="0030272E" w:rsidP="0030272E">
      <w:pPr>
        <w:pStyle w:val="SingleTxt"/>
        <w:rPr>
          <w:lang w:val="fr-FR"/>
        </w:rPr>
      </w:pPr>
      <w:r w:rsidRPr="00D425E3">
        <w:rPr>
          <w:lang w:val="fr-FR"/>
        </w:rPr>
        <w:tab/>
      </w:r>
      <w:r w:rsidR="00D51D03" w:rsidRPr="00D425E3">
        <w:rPr>
          <w:lang w:val="fr-FR"/>
        </w:rPr>
        <w:t>Au cours des quatre dernières années, ce sont plus de 240 mesures coercitives qui ont été prises par le Gouvernement des États-Unis contre le peuple et le Gouvernement cubains, et ces mesures sont toujours en vigueur. Il ne s</w:t>
      </w:r>
      <w:r w:rsidR="00B37147" w:rsidRPr="00D425E3">
        <w:rPr>
          <w:lang w:val="fr-FR"/>
        </w:rPr>
        <w:t>’</w:t>
      </w:r>
      <w:r w:rsidR="00D51D03" w:rsidRPr="00D425E3">
        <w:rPr>
          <w:lang w:val="fr-FR"/>
        </w:rPr>
        <w:t xml:space="preserve">agit pas seulement de simples mesures de renforcement du blocus, mais du recours à de nouvelles méthodes, dont certaines sont sans précédent, qui ont porté la guerre économique menée contre Cuba à des niveaux extrêmes, comme en témoignent les pénuries matérielles qui rythment la vie quotidienne de chaque Cubain. </w:t>
      </w:r>
    </w:p>
    <w:p w14:paraId="13450E47" w14:textId="77F24D89" w:rsidR="00D51D03" w:rsidRPr="00D425E3" w:rsidRDefault="0030272E" w:rsidP="0030272E">
      <w:pPr>
        <w:pStyle w:val="SingleTxt"/>
        <w:rPr>
          <w:lang w:val="fr-FR"/>
        </w:rPr>
      </w:pPr>
      <w:r w:rsidRPr="00D425E3">
        <w:rPr>
          <w:lang w:val="fr-FR"/>
        </w:rPr>
        <w:tab/>
      </w:r>
      <w:r w:rsidR="00D51D03" w:rsidRPr="00D425E3">
        <w:rPr>
          <w:lang w:val="fr-FR"/>
        </w:rPr>
        <w:t>Pour Cuba, ces restrictions aggravent les multiples défis créés par la pandémie de COVID-19 et en multiplient les effets dévastateurs dans les domaines socio-économique, sanitaire et financier. Ces mesures ont entravé à plusieurs reprises l</w:t>
      </w:r>
      <w:r w:rsidR="00B37147" w:rsidRPr="00D425E3">
        <w:rPr>
          <w:lang w:val="fr-FR"/>
        </w:rPr>
        <w:t>’</w:t>
      </w:r>
      <w:r w:rsidR="00D51D03" w:rsidRPr="00D425E3">
        <w:rPr>
          <w:lang w:val="fr-FR"/>
        </w:rPr>
        <w:t>arrivée de l</w:t>
      </w:r>
      <w:r w:rsidR="00B37147" w:rsidRPr="00D425E3">
        <w:rPr>
          <w:lang w:val="fr-FR"/>
        </w:rPr>
        <w:t>’</w:t>
      </w:r>
      <w:r w:rsidR="00D51D03" w:rsidRPr="00D425E3">
        <w:rPr>
          <w:lang w:val="fr-FR"/>
        </w:rPr>
        <w:t xml:space="preserve">aide humanitaire dans le pays, ce qui est immoral et injustifiable dans le contexte de la lutte contre la pandémie et révèle la nature criminelle du blocus. </w:t>
      </w:r>
    </w:p>
    <w:p w14:paraId="77CA8495" w14:textId="25E68DF7" w:rsidR="00D51D03" w:rsidRPr="00D425E3" w:rsidRDefault="0030272E" w:rsidP="0030272E">
      <w:pPr>
        <w:pStyle w:val="SingleTxt"/>
        <w:rPr>
          <w:lang w:val="fr-FR"/>
        </w:rPr>
      </w:pPr>
      <w:r w:rsidRPr="00D425E3">
        <w:rPr>
          <w:lang w:val="fr-FR"/>
        </w:rPr>
        <w:tab/>
      </w:r>
      <w:r w:rsidR="00D51D03" w:rsidRPr="00D425E3">
        <w:rPr>
          <w:lang w:val="fr-FR"/>
        </w:rPr>
        <w:t xml:space="preserve">Entre avril et décembre 2020, les pertes subies par Cuba à cause du blocus se sont </w:t>
      </w:r>
      <w:proofErr w:type="spellStart"/>
      <w:r w:rsidR="00D51D03" w:rsidRPr="00D425E3">
        <w:rPr>
          <w:lang w:val="fr-FR"/>
        </w:rPr>
        <w:t>élévées</w:t>
      </w:r>
      <w:proofErr w:type="spellEnd"/>
      <w:r w:rsidR="00D51D03" w:rsidRPr="00D425E3">
        <w:rPr>
          <w:lang w:val="fr-FR"/>
        </w:rPr>
        <w:t xml:space="preserve"> à 3 586,9 millions de dollars environ, ce qui, ajouté aux pertes de la période précédente, porte à un total de 9 157,2 millions de dollars les pertes subies entre avril 2019 et décembre 2020. </w:t>
      </w:r>
    </w:p>
    <w:p w14:paraId="3F226190" w14:textId="0351374D" w:rsidR="00D51D03" w:rsidRPr="00D425E3" w:rsidRDefault="0030272E" w:rsidP="0030272E">
      <w:pPr>
        <w:pStyle w:val="SingleTxt"/>
        <w:rPr>
          <w:lang w:val="fr-FR"/>
        </w:rPr>
      </w:pPr>
      <w:r w:rsidRPr="00D425E3">
        <w:rPr>
          <w:lang w:val="fr-FR"/>
        </w:rPr>
        <w:tab/>
      </w:r>
      <w:r w:rsidR="00D51D03" w:rsidRPr="00D425E3">
        <w:rPr>
          <w:lang w:val="fr-FR"/>
        </w:rPr>
        <w:t>Aux prix courants, les pertes subies depuis que le blocus est appliqué, soit depuis près de 60 ans, s</w:t>
      </w:r>
      <w:r w:rsidR="00B37147" w:rsidRPr="00D425E3">
        <w:rPr>
          <w:lang w:val="fr-FR"/>
        </w:rPr>
        <w:t>’</w:t>
      </w:r>
      <w:r w:rsidR="00D51D03" w:rsidRPr="00D425E3">
        <w:rPr>
          <w:lang w:val="fr-FR"/>
        </w:rPr>
        <w:t>élèvent à 147 853, 3 millions de dollars. Compte tenu de la dépréciation du dollar par rapport à la valeur de l</w:t>
      </w:r>
      <w:r w:rsidR="00B37147" w:rsidRPr="00D425E3">
        <w:rPr>
          <w:lang w:val="fr-FR"/>
        </w:rPr>
        <w:t>’</w:t>
      </w:r>
      <w:r w:rsidR="00D51D03" w:rsidRPr="00D425E3">
        <w:rPr>
          <w:lang w:val="fr-FR"/>
        </w:rPr>
        <w:t>or sur le marché international, le blocus a causé des dommages pouvant être estimés à plus de 1 377 998 millions de dollars.</w:t>
      </w:r>
    </w:p>
    <w:p w14:paraId="648F73D5" w14:textId="6E7BE940" w:rsidR="00D51D03" w:rsidRPr="00D425E3" w:rsidRDefault="0030272E" w:rsidP="0030272E">
      <w:pPr>
        <w:pStyle w:val="SingleTxt"/>
        <w:rPr>
          <w:lang w:val="fr-FR"/>
        </w:rPr>
      </w:pPr>
      <w:r w:rsidRPr="00D425E3">
        <w:rPr>
          <w:lang w:val="fr-FR"/>
        </w:rPr>
        <w:tab/>
      </w:r>
      <w:r w:rsidR="00D51D03" w:rsidRPr="00D425E3">
        <w:rPr>
          <w:lang w:val="fr-FR"/>
        </w:rPr>
        <w:t>La conversion des coûts liés au blocus en capacité de paiement du pays permettrait, en moins de cinq ans, de remédier de manière significative à l</w:t>
      </w:r>
      <w:r w:rsidR="00B37147" w:rsidRPr="00D425E3">
        <w:rPr>
          <w:lang w:val="fr-FR"/>
        </w:rPr>
        <w:t>’</w:t>
      </w:r>
      <w:r w:rsidR="00D51D03" w:rsidRPr="00D425E3">
        <w:rPr>
          <w:lang w:val="fr-FR"/>
        </w:rPr>
        <w:t>obsolescence d</w:t>
      </w:r>
      <w:r w:rsidR="00B37147" w:rsidRPr="00D425E3">
        <w:rPr>
          <w:lang w:val="fr-FR"/>
        </w:rPr>
        <w:t>’</w:t>
      </w:r>
      <w:r w:rsidR="00D51D03" w:rsidRPr="00D425E3">
        <w:rPr>
          <w:lang w:val="fr-FR"/>
        </w:rPr>
        <w:t>une grande partie des infrastructures cubaines et, en particulier, de transformer la matrice énergétique du pays en privilégiant les sources d</w:t>
      </w:r>
      <w:r w:rsidR="00B37147" w:rsidRPr="00D425E3">
        <w:rPr>
          <w:lang w:val="fr-FR"/>
        </w:rPr>
        <w:t>’</w:t>
      </w:r>
      <w:r w:rsidR="00D51D03" w:rsidRPr="00D425E3">
        <w:rPr>
          <w:lang w:val="fr-FR"/>
        </w:rPr>
        <w:t>énergie renouvelables. Disposer de cette somme d</w:t>
      </w:r>
      <w:r w:rsidR="00B37147" w:rsidRPr="00D425E3">
        <w:rPr>
          <w:lang w:val="fr-FR"/>
        </w:rPr>
        <w:t>’</w:t>
      </w:r>
      <w:r w:rsidR="00D51D03" w:rsidRPr="00D425E3">
        <w:rPr>
          <w:lang w:val="fr-FR"/>
        </w:rPr>
        <w:t>argent permettrait à Cuba d</w:t>
      </w:r>
      <w:r w:rsidR="00B37147" w:rsidRPr="00D425E3">
        <w:rPr>
          <w:lang w:val="fr-FR"/>
        </w:rPr>
        <w:t>’</w:t>
      </w:r>
      <w:r w:rsidR="00D51D03" w:rsidRPr="00D425E3">
        <w:rPr>
          <w:lang w:val="fr-FR"/>
        </w:rPr>
        <w:t>inverser favorablement sa situation financière, de renforcer la confiance des investisseurs et des créanciers étrangers et d</w:t>
      </w:r>
      <w:r w:rsidR="00B37147" w:rsidRPr="00D425E3">
        <w:rPr>
          <w:lang w:val="fr-FR"/>
        </w:rPr>
        <w:t>’</w:t>
      </w:r>
      <w:r w:rsidR="00D51D03" w:rsidRPr="00D425E3">
        <w:rPr>
          <w:lang w:val="fr-FR"/>
        </w:rPr>
        <w:t>augmenter sensiblement sa capacité d</w:t>
      </w:r>
      <w:r w:rsidR="00B37147" w:rsidRPr="00D425E3">
        <w:rPr>
          <w:lang w:val="fr-FR"/>
        </w:rPr>
        <w:t>’</w:t>
      </w:r>
      <w:r w:rsidR="00D51D03" w:rsidRPr="00D425E3">
        <w:rPr>
          <w:lang w:val="fr-FR"/>
        </w:rPr>
        <w:t>accès aux marchés financiers et aux marchés de capitaux.</w:t>
      </w:r>
    </w:p>
    <w:p w14:paraId="49CE6A20" w14:textId="5C1216A6" w:rsidR="00D51D03" w:rsidRPr="00D425E3" w:rsidRDefault="0030272E" w:rsidP="0030272E">
      <w:pPr>
        <w:pStyle w:val="SingleTxt"/>
        <w:rPr>
          <w:lang w:val="fr-FR"/>
        </w:rPr>
      </w:pPr>
      <w:r w:rsidRPr="00D425E3">
        <w:rPr>
          <w:lang w:val="fr-FR"/>
        </w:rPr>
        <w:tab/>
      </w:r>
      <w:r w:rsidR="00D51D03" w:rsidRPr="00D425E3">
        <w:rPr>
          <w:lang w:val="fr-FR"/>
        </w:rPr>
        <w:t>Dans les circonstances actuelles, le blocus constitue un énorme fardeau pour la population et l</w:t>
      </w:r>
      <w:r w:rsidR="00B37147" w:rsidRPr="00D425E3">
        <w:rPr>
          <w:lang w:val="fr-FR"/>
        </w:rPr>
        <w:t>’</w:t>
      </w:r>
      <w:r w:rsidR="00D51D03" w:rsidRPr="00D425E3">
        <w:rPr>
          <w:lang w:val="fr-FR"/>
        </w:rPr>
        <w:t xml:space="preserve">économie cubaines, et a des effets particulièrement dévastateurs dans le contexte de la pandémie de COVID-19, Cuba ayant dû mobiliser des ressources considérables pour garantir de toute urgence la disponibilité des équipements et du matériel nécessaires à son système national de santé. </w:t>
      </w:r>
    </w:p>
    <w:p w14:paraId="7EDCB4EE" w14:textId="3213F43B" w:rsidR="00D51D03" w:rsidRPr="00D425E3" w:rsidRDefault="0030272E" w:rsidP="0030272E">
      <w:pPr>
        <w:pStyle w:val="SingleTxt"/>
        <w:rPr>
          <w:lang w:val="fr-FR"/>
        </w:rPr>
      </w:pPr>
      <w:r w:rsidRPr="00D425E3">
        <w:rPr>
          <w:lang w:val="fr-FR"/>
        </w:rPr>
        <w:tab/>
      </w:r>
      <w:r w:rsidR="00D51D03" w:rsidRPr="00D425E3">
        <w:rPr>
          <w:lang w:val="fr-FR"/>
        </w:rPr>
        <w:t>Les effets du blocus sur le secteur de la santé, l</w:t>
      </w:r>
      <w:r w:rsidR="00B37147" w:rsidRPr="00D425E3">
        <w:rPr>
          <w:lang w:val="fr-FR"/>
        </w:rPr>
        <w:t>’</w:t>
      </w:r>
      <w:r w:rsidR="00D51D03" w:rsidRPr="00D425E3">
        <w:rPr>
          <w:lang w:val="fr-FR"/>
        </w:rPr>
        <w:t xml:space="preserve">un des plus touchés au cours de la période considérée, se traduisent par la pénurie de produits de consommation </w:t>
      </w:r>
      <w:r w:rsidR="00D51D03" w:rsidRPr="00D425E3">
        <w:rPr>
          <w:lang w:val="fr-FR"/>
        </w:rPr>
        <w:lastRenderedPageBreak/>
        <w:t>essentiels, ainsi que par les difficultés de l</w:t>
      </w:r>
      <w:r w:rsidR="00B37147" w:rsidRPr="00D425E3">
        <w:rPr>
          <w:lang w:val="fr-FR"/>
        </w:rPr>
        <w:t>’</w:t>
      </w:r>
      <w:r w:rsidR="00D51D03" w:rsidRPr="00D425E3">
        <w:rPr>
          <w:lang w:val="fr-FR"/>
        </w:rPr>
        <w:t xml:space="preserve">industrie nationale à acquérir les intrants nécessaires à la conservation des aliments et à la production de médicaments, entre autres choses. </w:t>
      </w:r>
    </w:p>
    <w:p w14:paraId="0CD0266C" w14:textId="5247E5D6" w:rsidR="00D51D03" w:rsidRPr="00D425E3" w:rsidRDefault="0030272E" w:rsidP="0030272E">
      <w:pPr>
        <w:pStyle w:val="SingleTxt"/>
        <w:rPr>
          <w:lang w:val="fr-FR"/>
        </w:rPr>
      </w:pPr>
      <w:r w:rsidRPr="00D425E3">
        <w:rPr>
          <w:lang w:val="fr-FR"/>
        </w:rPr>
        <w:tab/>
      </w:r>
      <w:r w:rsidR="00D51D03" w:rsidRPr="00D425E3">
        <w:rPr>
          <w:lang w:val="fr-FR"/>
        </w:rPr>
        <w:t>Le refus des fournisseurs de fournir les marchandises convenues, les retards dans la livraison des intrants et l</w:t>
      </w:r>
      <w:r w:rsidR="00B37147" w:rsidRPr="00D425E3">
        <w:rPr>
          <w:lang w:val="fr-FR"/>
        </w:rPr>
        <w:t>’</w:t>
      </w:r>
      <w:r w:rsidR="00D51D03" w:rsidRPr="00D425E3">
        <w:rPr>
          <w:lang w:val="fr-FR"/>
        </w:rPr>
        <w:t>augmentation des coûts, étant donné la nécessité de se fournir sur des marchés éloignés et de passer par des intermédiaires, ont notamment entraîné des pertes dans ce secteur, qui, pour la période comprise entre avril et décembre 2020, se sont élevées à 198</w:t>
      </w:r>
      <w:r w:rsidR="00C865C7">
        <w:rPr>
          <w:lang w:val="fr-FR"/>
        </w:rPr>
        <w:t> </w:t>
      </w:r>
      <w:r w:rsidR="00D51D03" w:rsidRPr="00D425E3">
        <w:rPr>
          <w:lang w:val="fr-FR"/>
        </w:rPr>
        <w:t>348</w:t>
      </w:r>
      <w:r w:rsidR="00C865C7">
        <w:rPr>
          <w:lang w:val="fr-FR"/>
        </w:rPr>
        <w:t> </w:t>
      </w:r>
      <w:r w:rsidR="00D51D03" w:rsidRPr="00D425E3">
        <w:rPr>
          <w:lang w:val="fr-FR"/>
        </w:rPr>
        <w:t xml:space="preserve">000 dollars. Cela représente une augmentation de 38 millions de dollars par rapport à la période précédente. </w:t>
      </w:r>
    </w:p>
    <w:p w14:paraId="5523B6FA" w14:textId="102587FE" w:rsidR="00D51D03" w:rsidRPr="00D425E3" w:rsidRDefault="0030272E" w:rsidP="0030272E">
      <w:pPr>
        <w:pStyle w:val="SingleTxt"/>
        <w:rPr>
          <w:lang w:val="fr-FR"/>
        </w:rPr>
      </w:pPr>
      <w:r w:rsidRPr="00D425E3">
        <w:rPr>
          <w:lang w:val="fr-FR"/>
        </w:rPr>
        <w:tab/>
      </w:r>
      <w:r w:rsidR="00D51D03" w:rsidRPr="00D425E3">
        <w:rPr>
          <w:lang w:val="fr-FR"/>
        </w:rPr>
        <w:t xml:space="preserve">Les cas des entreprises allemandes Sartorius et Merck ainsi que celui de </w:t>
      </w:r>
      <w:proofErr w:type="spellStart"/>
      <w:r w:rsidR="00D51D03" w:rsidRPr="00D425E3">
        <w:rPr>
          <w:lang w:val="fr-FR"/>
        </w:rPr>
        <w:t>Cytiva</w:t>
      </w:r>
      <w:proofErr w:type="spellEnd"/>
      <w:r w:rsidR="00D51D03" w:rsidRPr="00D425E3">
        <w:rPr>
          <w:lang w:val="fr-FR"/>
        </w:rPr>
        <w:t xml:space="preserve"> et d</w:t>
      </w:r>
      <w:r w:rsidR="00B37147" w:rsidRPr="00D425E3">
        <w:rPr>
          <w:lang w:val="fr-FR"/>
        </w:rPr>
        <w:t>’</w:t>
      </w:r>
      <w:r w:rsidR="00D51D03" w:rsidRPr="00D425E3">
        <w:rPr>
          <w:lang w:val="fr-FR"/>
        </w:rPr>
        <w:t>autres fournisseurs habituels de l</w:t>
      </w:r>
      <w:r w:rsidR="00B37147" w:rsidRPr="00D425E3">
        <w:rPr>
          <w:lang w:val="fr-FR"/>
        </w:rPr>
        <w:t>’</w:t>
      </w:r>
      <w:r w:rsidR="00D51D03" w:rsidRPr="00D425E3">
        <w:rPr>
          <w:lang w:val="fr-FR"/>
        </w:rPr>
        <w:t>île en matériel de laboratoire, en réactifs et en intrants, qui ont cessé leurs livraisons à Cuba en 2020 en raison du renforcement du blocus, sont particulièrement parlants à cet égard. Au cours de la période à l</w:t>
      </w:r>
      <w:r w:rsidR="00B37147" w:rsidRPr="00D425E3">
        <w:rPr>
          <w:lang w:val="fr-FR"/>
        </w:rPr>
        <w:t>’</w:t>
      </w:r>
      <w:r w:rsidR="00D51D03" w:rsidRPr="00D425E3">
        <w:rPr>
          <w:lang w:val="fr-FR"/>
        </w:rPr>
        <w:t>examen, Cuba a été dans l</w:t>
      </w:r>
      <w:r w:rsidR="00B37147" w:rsidRPr="00D425E3">
        <w:rPr>
          <w:lang w:val="fr-FR"/>
        </w:rPr>
        <w:t>’</w:t>
      </w:r>
      <w:r w:rsidR="00D51D03" w:rsidRPr="00D425E3">
        <w:rPr>
          <w:lang w:val="fr-FR"/>
        </w:rPr>
        <w:t>impossibilité d</w:t>
      </w:r>
      <w:r w:rsidR="00B37147" w:rsidRPr="00D425E3">
        <w:rPr>
          <w:lang w:val="fr-FR"/>
        </w:rPr>
        <w:t>’</w:t>
      </w:r>
      <w:r w:rsidR="00D51D03" w:rsidRPr="00D425E3">
        <w:rPr>
          <w:lang w:val="fr-FR"/>
        </w:rPr>
        <w:t>avoir accès à 32 équipements et fournitures nécessaires à la production de candidats vaccins contre la COVID-19 ou à l</w:t>
      </w:r>
      <w:r w:rsidR="00B37147" w:rsidRPr="00D425E3">
        <w:rPr>
          <w:lang w:val="fr-FR"/>
        </w:rPr>
        <w:t>’</w:t>
      </w:r>
      <w:r w:rsidR="00D51D03" w:rsidRPr="00D425E3">
        <w:rPr>
          <w:lang w:val="fr-FR"/>
        </w:rPr>
        <w:t>exécution d</w:t>
      </w:r>
      <w:r w:rsidR="00B37147" w:rsidRPr="00D425E3">
        <w:rPr>
          <w:lang w:val="fr-FR"/>
        </w:rPr>
        <w:t>’</w:t>
      </w:r>
      <w:r w:rsidR="00D51D03" w:rsidRPr="00D425E3">
        <w:rPr>
          <w:lang w:val="fr-FR"/>
        </w:rPr>
        <w:t>étapes permettant l</w:t>
      </w:r>
      <w:r w:rsidR="00B37147" w:rsidRPr="00D425E3">
        <w:rPr>
          <w:lang w:val="fr-FR"/>
        </w:rPr>
        <w:t>’</w:t>
      </w:r>
      <w:r w:rsidR="00D51D03" w:rsidRPr="00D425E3">
        <w:rPr>
          <w:lang w:val="fr-FR"/>
        </w:rPr>
        <w:t xml:space="preserve">achèvement des essais cliniques, notamment des équipements utilisés pour la purification des candidats vaccins, des additifs pour les équipements de production, des cuves et capsules de filtration, du chlorure de potassium en solution, du </w:t>
      </w:r>
      <w:proofErr w:type="spellStart"/>
      <w:r w:rsidR="00D51D03" w:rsidRPr="00D425E3">
        <w:rPr>
          <w:lang w:val="fr-FR"/>
        </w:rPr>
        <w:t>thiomersal</w:t>
      </w:r>
      <w:proofErr w:type="spellEnd"/>
      <w:r w:rsidR="00D51D03" w:rsidRPr="00D425E3">
        <w:rPr>
          <w:lang w:val="fr-FR"/>
        </w:rPr>
        <w:t>, des sacs et des réactifs.</w:t>
      </w:r>
    </w:p>
    <w:p w14:paraId="74D79983" w14:textId="0F25E608" w:rsidR="00D51D03" w:rsidRPr="00D425E3" w:rsidRDefault="0030272E" w:rsidP="0030272E">
      <w:pPr>
        <w:pStyle w:val="SingleTxt"/>
        <w:rPr>
          <w:lang w:val="fr-FR"/>
        </w:rPr>
      </w:pPr>
      <w:r w:rsidRPr="00D425E3">
        <w:rPr>
          <w:lang w:val="fr-FR"/>
        </w:rPr>
        <w:tab/>
      </w:r>
      <w:r w:rsidR="00D51D03" w:rsidRPr="00D425E3">
        <w:rPr>
          <w:lang w:val="fr-FR"/>
        </w:rPr>
        <w:t>Faute de pouvoir traiter directement avec le fabricant, Cuba a dû faire appel à d</w:t>
      </w:r>
      <w:r w:rsidR="00B37147" w:rsidRPr="00D425E3">
        <w:rPr>
          <w:lang w:val="fr-FR"/>
        </w:rPr>
        <w:t>’</w:t>
      </w:r>
      <w:r w:rsidR="00D51D03" w:rsidRPr="00D425E3">
        <w:rPr>
          <w:lang w:val="fr-FR"/>
        </w:rPr>
        <w:t>autres fournisseurs qui ont joué le rôle d</w:t>
      </w:r>
      <w:r w:rsidR="00B37147" w:rsidRPr="00D425E3">
        <w:rPr>
          <w:lang w:val="fr-FR"/>
        </w:rPr>
        <w:t>’</w:t>
      </w:r>
      <w:r w:rsidR="00D51D03" w:rsidRPr="00D425E3">
        <w:rPr>
          <w:lang w:val="fr-FR"/>
        </w:rPr>
        <w:t>intermédiaires, ce qui a entraîné une augmentation des prix comprise entre 50</w:t>
      </w:r>
      <w:r w:rsidR="00DE1723" w:rsidRPr="00D425E3">
        <w:rPr>
          <w:lang w:val="fr-FR"/>
        </w:rPr>
        <w:t> </w:t>
      </w:r>
      <w:r w:rsidR="00D51D03" w:rsidRPr="00D425E3">
        <w:rPr>
          <w:lang w:val="fr-FR"/>
        </w:rPr>
        <w:t>% et 65</w:t>
      </w:r>
      <w:r w:rsidR="00DE1723" w:rsidRPr="00D425E3">
        <w:rPr>
          <w:lang w:val="fr-FR"/>
        </w:rPr>
        <w:t> </w:t>
      </w:r>
      <w:r w:rsidR="00D51D03" w:rsidRPr="00D425E3">
        <w:rPr>
          <w:lang w:val="fr-FR"/>
        </w:rPr>
        <w:t xml:space="preserve">% du prix habituel. </w:t>
      </w:r>
    </w:p>
    <w:p w14:paraId="5C6D2F68" w14:textId="019BB591" w:rsidR="00D51D03" w:rsidRPr="00D425E3" w:rsidRDefault="0030272E" w:rsidP="0030272E">
      <w:pPr>
        <w:pStyle w:val="SingleTxt"/>
        <w:rPr>
          <w:lang w:val="fr-FR"/>
        </w:rPr>
      </w:pPr>
      <w:r w:rsidRPr="00D425E3">
        <w:rPr>
          <w:lang w:val="fr-FR"/>
        </w:rPr>
        <w:tab/>
      </w:r>
      <w:r w:rsidR="00D51D03" w:rsidRPr="00D425E3">
        <w:rPr>
          <w:lang w:val="fr-FR"/>
        </w:rPr>
        <w:t>Cette situation a nui aux travaux de plusieurs entités de l</w:t>
      </w:r>
      <w:r w:rsidR="00B37147" w:rsidRPr="00D425E3">
        <w:rPr>
          <w:lang w:val="fr-FR"/>
        </w:rPr>
        <w:t>’</w:t>
      </w:r>
      <w:r w:rsidR="00D51D03" w:rsidRPr="00D425E3">
        <w:rPr>
          <w:lang w:val="fr-FR"/>
        </w:rPr>
        <w:t>industrie biopharmaceutique cubaine, parmi lesquelles le Centre de génie génétique et de biotechnologie, l</w:t>
      </w:r>
      <w:r w:rsidR="00B37147" w:rsidRPr="00D425E3">
        <w:rPr>
          <w:lang w:val="fr-FR"/>
        </w:rPr>
        <w:t>’</w:t>
      </w:r>
      <w:r w:rsidR="00D51D03" w:rsidRPr="00D425E3">
        <w:rPr>
          <w:lang w:val="fr-FR"/>
        </w:rPr>
        <w:t>Institut de vaccination Finlay, la société Laboratoires AICA et la société d</w:t>
      </w:r>
      <w:r w:rsidR="00B37147" w:rsidRPr="00D425E3">
        <w:rPr>
          <w:lang w:val="fr-FR"/>
        </w:rPr>
        <w:t>’</w:t>
      </w:r>
      <w:r w:rsidR="00D51D03" w:rsidRPr="00D425E3">
        <w:rPr>
          <w:lang w:val="fr-FR"/>
        </w:rPr>
        <w:t xml:space="preserve">import-export </w:t>
      </w:r>
      <w:proofErr w:type="spellStart"/>
      <w:r w:rsidR="00D51D03" w:rsidRPr="00D425E3">
        <w:rPr>
          <w:lang w:val="fr-FR"/>
        </w:rPr>
        <w:t>FarmaCuba</w:t>
      </w:r>
      <w:proofErr w:type="spellEnd"/>
      <w:r w:rsidR="00D51D03" w:rsidRPr="00D425E3">
        <w:rPr>
          <w:lang w:val="fr-FR"/>
        </w:rPr>
        <w:t xml:space="preserve">, qui participent directement aux efforts du pays pour faire face à la pandémie. </w:t>
      </w:r>
    </w:p>
    <w:p w14:paraId="6F79103A" w14:textId="3108BB04" w:rsidR="00D51D03" w:rsidRPr="00D425E3" w:rsidRDefault="0030272E" w:rsidP="0030272E">
      <w:pPr>
        <w:pStyle w:val="SingleTxt"/>
        <w:rPr>
          <w:lang w:val="fr-FR"/>
        </w:rPr>
      </w:pPr>
      <w:r w:rsidRPr="00D425E3">
        <w:rPr>
          <w:lang w:val="fr-FR"/>
        </w:rPr>
        <w:tab/>
      </w:r>
      <w:r w:rsidR="00D51D03" w:rsidRPr="00D425E3">
        <w:rPr>
          <w:lang w:val="fr-FR"/>
        </w:rPr>
        <w:t>En novembre 2020, le Ministère des transports des États-Unis a refusé, sur ordre du Département d</w:t>
      </w:r>
      <w:r w:rsidR="00B37147" w:rsidRPr="00D425E3">
        <w:rPr>
          <w:lang w:val="fr-FR"/>
        </w:rPr>
        <w:t>’</w:t>
      </w:r>
      <w:r w:rsidR="00D51D03" w:rsidRPr="00D425E3">
        <w:rPr>
          <w:lang w:val="fr-FR"/>
        </w:rPr>
        <w:t>État, d</w:t>
      </w:r>
      <w:r w:rsidR="00B37147" w:rsidRPr="00D425E3">
        <w:rPr>
          <w:lang w:val="fr-FR"/>
        </w:rPr>
        <w:t>’</w:t>
      </w:r>
      <w:r w:rsidR="00D51D03" w:rsidRPr="00D425E3">
        <w:rPr>
          <w:lang w:val="fr-FR"/>
        </w:rPr>
        <w:t xml:space="preserve">accorder aux compagnies aériennes IBC Airways et </w:t>
      </w:r>
      <w:proofErr w:type="spellStart"/>
      <w:r w:rsidR="00D51D03" w:rsidRPr="00D425E3">
        <w:rPr>
          <w:lang w:val="fr-FR"/>
        </w:rPr>
        <w:t>SkyWay</w:t>
      </w:r>
      <w:proofErr w:type="spellEnd"/>
      <w:r w:rsidR="00D51D03" w:rsidRPr="00D425E3">
        <w:rPr>
          <w:lang w:val="fr-FR"/>
        </w:rPr>
        <w:t xml:space="preserve"> </w:t>
      </w:r>
      <w:proofErr w:type="spellStart"/>
      <w:r w:rsidR="00D51D03" w:rsidRPr="00D425E3">
        <w:rPr>
          <w:lang w:val="fr-FR"/>
        </w:rPr>
        <w:t>Enterprises</w:t>
      </w:r>
      <w:proofErr w:type="spellEnd"/>
      <w:r w:rsidR="00D51D03" w:rsidRPr="00D425E3">
        <w:rPr>
          <w:lang w:val="fr-FR"/>
        </w:rPr>
        <w:t xml:space="preserve"> l</w:t>
      </w:r>
      <w:r w:rsidR="00B37147" w:rsidRPr="00D425E3">
        <w:rPr>
          <w:lang w:val="fr-FR"/>
        </w:rPr>
        <w:t>’</w:t>
      </w:r>
      <w:r w:rsidR="00D51D03" w:rsidRPr="00D425E3">
        <w:rPr>
          <w:lang w:val="fr-FR"/>
        </w:rPr>
        <w:t>autorisation d</w:t>
      </w:r>
      <w:r w:rsidR="00B37147" w:rsidRPr="00D425E3">
        <w:rPr>
          <w:lang w:val="fr-FR"/>
        </w:rPr>
        <w:t>’</w:t>
      </w:r>
      <w:r w:rsidR="00D51D03" w:rsidRPr="00D425E3">
        <w:rPr>
          <w:lang w:val="fr-FR"/>
        </w:rPr>
        <w:t xml:space="preserve">effectuer des vols vers Cuba pour transporter des marchandises à visée humanitaire. La première compagnie a affirmé que la décision était due au fait que Cuba faisait partie des </w:t>
      </w:r>
      <w:r w:rsidR="00DE1723" w:rsidRPr="00D425E3">
        <w:rPr>
          <w:lang w:val="fr-FR"/>
        </w:rPr>
        <w:t>« </w:t>
      </w:r>
      <w:r w:rsidR="00D51D03" w:rsidRPr="00D425E3">
        <w:rPr>
          <w:lang w:val="fr-FR"/>
        </w:rPr>
        <w:t>pays soumis à des sanctions économiques imposées par les Etats-Unis</w:t>
      </w:r>
      <w:r w:rsidR="00DE1723" w:rsidRPr="00D425E3">
        <w:rPr>
          <w:lang w:val="fr-FR"/>
        </w:rPr>
        <w:t> »</w:t>
      </w:r>
      <w:r w:rsidR="00D51D03" w:rsidRPr="00D425E3">
        <w:rPr>
          <w:lang w:val="fr-FR"/>
        </w:rPr>
        <w:t xml:space="preserve">, tandis que la seconde a évoqué des difficultés avec </w:t>
      </w:r>
      <w:proofErr w:type="spellStart"/>
      <w:r w:rsidR="00D51D03" w:rsidRPr="00D425E3">
        <w:rPr>
          <w:lang w:val="fr-FR"/>
        </w:rPr>
        <w:t>Stripe</w:t>
      </w:r>
      <w:proofErr w:type="spellEnd"/>
      <w:r w:rsidR="00D51D03" w:rsidRPr="00D425E3">
        <w:rPr>
          <w:lang w:val="fr-FR"/>
        </w:rPr>
        <w:t>, la société américaine qui lui sert de prestataire de services de paiement.</w:t>
      </w:r>
    </w:p>
    <w:p w14:paraId="7FD75ADD" w14:textId="2BC112EE" w:rsidR="00D51D03" w:rsidRPr="00D425E3" w:rsidRDefault="0030272E" w:rsidP="0030272E">
      <w:pPr>
        <w:pStyle w:val="SingleTxt"/>
        <w:rPr>
          <w:lang w:val="fr-FR"/>
        </w:rPr>
      </w:pPr>
      <w:r w:rsidRPr="00D425E3">
        <w:rPr>
          <w:lang w:val="fr-FR"/>
        </w:rPr>
        <w:tab/>
      </w:r>
      <w:r w:rsidR="00D51D03" w:rsidRPr="00D425E3">
        <w:rPr>
          <w:lang w:val="fr-FR"/>
        </w:rPr>
        <w:t xml:space="preserve">De même, en février 2021, les sociétés </w:t>
      </w:r>
      <w:proofErr w:type="spellStart"/>
      <w:r w:rsidR="00D51D03" w:rsidRPr="00D425E3">
        <w:rPr>
          <w:lang w:val="fr-FR"/>
        </w:rPr>
        <w:t>JustGiving</w:t>
      </w:r>
      <w:proofErr w:type="spellEnd"/>
      <w:r w:rsidR="00D51D03" w:rsidRPr="00D425E3">
        <w:rPr>
          <w:lang w:val="fr-FR"/>
        </w:rPr>
        <w:t xml:space="preserve"> et </w:t>
      </w:r>
      <w:proofErr w:type="spellStart"/>
      <w:r w:rsidR="00D51D03" w:rsidRPr="00D425E3">
        <w:rPr>
          <w:lang w:val="fr-FR"/>
        </w:rPr>
        <w:t>Crowdfunder</w:t>
      </w:r>
      <w:proofErr w:type="spellEnd"/>
      <w:r w:rsidR="00D51D03" w:rsidRPr="00D425E3">
        <w:rPr>
          <w:lang w:val="fr-FR"/>
        </w:rPr>
        <w:t xml:space="preserve"> UK ont bloqué les pages de l</w:t>
      </w:r>
      <w:r w:rsidR="00B37147" w:rsidRPr="00D425E3">
        <w:rPr>
          <w:lang w:val="fr-FR"/>
        </w:rPr>
        <w:t>’</w:t>
      </w:r>
      <w:r w:rsidR="00D51D03" w:rsidRPr="00D425E3">
        <w:rPr>
          <w:lang w:val="fr-FR"/>
        </w:rPr>
        <w:t xml:space="preserve">organisation de solidarité </w:t>
      </w:r>
      <w:r w:rsidR="00C865C7">
        <w:rPr>
          <w:lang w:val="fr-FR"/>
        </w:rPr>
        <w:t>« </w:t>
      </w:r>
      <w:proofErr w:type="spellStart"/>
      <w:r w:rsidR="00D51D03" w:rsidRPr="00D425E3">
        <w:rPr>
          <w:lang w:val="fr-FR"/>
        </w:rPr>
        <w:t>Cubanos</w:t>
      </w:r>
      <w:proofErr w:type="spellEnd"/>
      <w:r w:rsidR="00D51D03" w:rsidRPr="00D425E3">
        <w:rPr>
          <w:lang w:val="fr-FR"/>
        </w:rPr>
        <w:t xml:space="preserve"> en UK</w:t>
      </w:r>
      <w:r w:rsidR="00C865C7">
        <w:rPr>
          <w:lang w:val="fr-FR"/>
        </w:rPr>
        <w:t> »</w:t>
      </w:r>
      <w:r w:rsidR="00D51D03" w:rsidRPr="00D425E3">
        <w:rPr>
          <w:lang w:val="fr-FR"/>
        </w:rPr>
        <w:t xml:space="preserve"> créées pour récolter des fonds en vue de l</w:t>
      </w:r>
      <w:r w:rsidR="00B37147" w:rsidRPr="00D425E3">
        <w:rPr>
          <w:lang w:val="fr-FR"/>
        </w:rPr>
        <w:t>’</w:t>
      </w:r>
      <w:r w:rsidR="00D51D03" w:rsidRPr="00D425E3">
        <w:rPr>
          <w:lang w:val="fr-FR"/>
        </w:rPr>
        <w:t xml:space="preserve">achat de fournitures médicales et pour soutenir la campagne de vaccination contre la COVID-19 à Cuba. </w:t>
      </w:r>
    </w:p>
    <w:p w14:paraId="53EDDEFC" w14:textId="1B147E42" w:rsidR="00D51D03" w:rsidRPr="00D425E3" w:rsidRDefault="0030272E" w:rsidP="0030272E">
      <w:pPr>
        <w:pStyle w:val="SingleTxt"/>
        <w:rPr>
          <w:lang w:val="fr-FR"/>
        </w:rPr>
      </w:pPr>
      <w:r w:rsidRPr="00D425E3">
        <w:rPr>
          <w:lang w:val="fr-FR"/>
        </w:rPr>
        <w:tab/>
      </w:r>
      <w:r w:rsidR="00D51D03" w:rsidRPr="00D425E3">
        <w:rPr>
          <w:lang w:val="fr-FR"/>
        </w:rPr>
        <w:t>Malgré ces obstacles et ces limitations de taille, le rôle de Cuba dans la lutte contre la pandémie a été salué au niveau international. Le pays dispose de cinq candidats vaccins en cours de développement et a dépêché 57 brigades médicales dans 40 pays et territoires pour appuyer la lutte contre la pandémie. La campagne immorale de diffamation organisée par les États-Unis contre les initiatives de coopération médicale cubaine n</w:t>
      </w:r>
      <w:r w:rsidR="00B37147" w:rsidRPr="00D425E3">
        <w:rPr>
          <w:lang w:val="fr-FR"/>
        </w:rPr>
        <w:t>’</w:t>
      </w:r>
      <w:r w:rsidR="00D51D03" w:rsidRPr="00D425E3">
        <w:rPr>
          <w:lang w:val="fr-FR"/>
        </w:rPr>
        <w:t>a pas pu arrêter la solidarité et la vocation humaniste de notre peuple.</w:t>
      </w:r>
    </w:p>
    <w:p w14:paraId="26B204E7" w14:textId="3DD47113" w:rsidR="00D51D03" w:rsidRPr="00D425E3" w:rsidRDefault="0030272E" w:rsidP="0030272E">
      <w:pPr>
        <w:pStyle w:val="SingleTxt"/>
        <w:rPr>
          <w:lang w:val="fr-FR"/>
        </w:rPr>
      </w:pPr>
      <w:r w:rsidRPr="00D425E3">
        <w:rPr>
          <w:lang w:val="fr-FR"/>
        </w:rPr>
        <w:tab/>
      </w:r>
      <w:r w:rsidR="00D51D03" w:rsidRPr="00D425E3">
        <w:rPr>
          <w:lang w:val="fr-FR"/>
        </w:rPr>
        <w:t>Le durcissement des effets extraterritoriaux du blocus a créé des obstacles supplémentaires aux échanges commerciaux et financiers de Cuba. La mise à jour des listes établies de façon unilatérale par les États-Unis a restreint l</w:t>
      </w:r>
      <w:r w:rsidR="00B37147" w:rsidRPr="00D425E3">
        <w:rPr>
          <w:lang w:val="fr-FR"/>
        </w:rPr>
        <w:t>’</w:t>
      </w:r>
      <w:r w:rsidR="00D51D03" w:rsidRPr="00D425E3">
        <w:rPr>
          <w:lang w:val="fr-FR"/>
        </w:rPr>
        <w:t>activité commerciale et touristique du pays et réduit les revenus perçus par l</w:t>
      </w:r>
      <w:r w:rsidR="00B37147" w:rsidRPr="00D425E3">
        <w:rPr>
          <w:lang w:val="fr-FR"/>
        </w:rPr>
        <w:t>’</w:t>
      </w:r>
      <w:r w:rsidR="00D51D03" w:rsidRPr="00D425E3">
        <w:rPr>
          <w:lang w:val="fr-FR"/>
        </w:rPr>
        <w:t xml:space="preserve">État cubain à ce titre. Le </w:t>
      </w:r>
      <w:r w:rsidR="00D51D03" w:rsidRPr="00D425E3">
        <w:rPr>
          <w:lang w:val="fr-FR"/>
        </w:rPr>
        <w:lastRenderedPageBreak/>
        <w:t>Département d</w:t>
      </w:r>
      <w:r w:rsidR="00B37147" w:rsidRPr="00D425E3">
        <w:rPr>
          <w:lang w:val="fr-FR"/>
        </w:rPr>
        <w:t>’</w:t>
      </w:r>
      <w:r w:rsidR="00D51D03" w:rsidRPr="00D425E3">
        <w:rPr>
          <w:lang w:val="fr-FR"/>
        </w:rPr>
        <w:t>État a ajouté de nouvelles entreprises à la Liste des entités cubaines soumises à des restrictions, liste conçue uniquement aux fins d</w:t>
      </w:r>
      <w:r w:rsidR="00B37147" w:rsidRPr="00D425E3">
        <w:rPr>
          <w:lang w:val="fr-FR"/>
        </w:rPr>
        <w:t>’</w:t>
      </w:r>
      <w:r w:rsidR="00D51D03" w:rsidRPr="00D425E3">
        <w:rPr>
          <w:lang w:val="fr-FR"/>
        </w:rPr>
        <w:t>empêcher Cuba d</w:t>
      </w:r>
      <w:r w:rsidR="00B37147" w:rsidRPr="00D425E3">
        <w:rPr>
          <w:lang w:val="fr-FR"/>
        </w:rPr>
        <w:t>’</w:t>
      </w:r>
      <w:r w:rsidR="00D51D03" w:rsidRPr="00D425E3">
        <w:rPr>
          <w:lang w:val="fr-FR"/>
        </w:rPr>
        <w:t>effectuer des transactions avec des personnes soumises à la juridiction des États-Unis. Cette liste établie de façon unilatérale a continué d</w:t>
      </w:r>
      <w:r w:rsidR="00B37147" w:rsidRPr="00D425E3">
        <w:rPr>
          <w:lang w:val="fr-FR"/>
        </w:rPr>
        <w:t>’</w:t>
      </w:r>
      <w:r w:rsidR="00D51D03" w:rsidRPr="00D425E3">
        <w:rPr>
          <w:lang w:val="fr-FR"/>
        </w:rPr>
        <w:t>avoir un effet intimidant et dissuasif sur les milieux d</w:t>
      </w:r>
      <w:r w:rsidR="00B37147" w:rsidRPr="00D425E3">
        <w:rPr>
          <w:lang w:val="fr-FR"/>
        </w:rPr>
        <w:t>’</w:t>
      </w:r>
      <w:r w:rsidR="00D51D03" w:rsidRPr="00D425E3">
        <w:rPr>
          <w:lang w:val="fr-FR"/>
        </w:rPr>
        <w:t xml:space="preserve">affaires internationaux. </w:t>
      </w:r>
    </w:p>
    <w:p w14:paraId="4F8F3CE2" w14:textId="0C26EB09" w:rsidR="00D51D03" w:rsidRPr="00D425E3" w:rsidRDefault="0030272E" w:rsidP="0030272E">
      <w:pPr>
        <w:pStyle w:val="SingleTxt"/>
        <w:rPr>
          <w:lang w:val="fr-FR"/>
        </w:rPr>
      </w:pPr>
      <w:r w:rsidRPr="00D425E3">
        <w:rPr>
          <w:lang w:val="fr-FR"/>
        </w:rPr>
        <w:tab/>
      </w:r>
      <w:proofErr w:type="spellStart"/>
      <w:r w:rsidR="00D51D03" w:rsidRPr="00D425E3">
        <w:rPr>
          <w:lang w:val="fr-FR"/>
        </w:rPr>
        <w:t>Fincimex</w:t>
      </w:r>
      <w:proofErr w:type="spellEnd"/>
      <w:r w:rsidR="00D51D03" w:rsidRPr="00D425E3">
        <w:rPr>
          <w:lang w:val="fr-FR"/>
        </w:rPr>
        <w:t xml:space="preserve"> et American International Service, deux entreprises cubaines qui facilitent l</w:t>
      </w:r>
      <w:r w:rsidR="00B37147" w:rsidRPr="00D425E3">
        <w:rPr>
          <w:lang w:val="fr-FR"/>
        </w:rPr>
        <w:t>’</w:t>
      </w:r>
      <w:r w:rsidR="00D51D03" w:rsidRPr="00D425E3">
        <w:rPr>
          <w:lang w:val="fr-FR"/>
        </w:rPr>
        <w:t>acheminement des transferts de fonds, ont subi des répercussions dommageables significatives à la suite de leur inscription sur ladite liste, en juin et en septembre 2020 respectivement. Cette inscription visait à casser le circuit des fonds servant de revenus aux familles et à limiter considérablement l</w:t>
      </w:r>
      <w:r w:rsidR="00B37147" w:rsidRPr="00D425E3">
        <w:rPr>
          <w:lang w:val="fr-FR"/>
        </w:rPr>
        <w:t>’</w:t>
      </w:r>
      <w:r w:rsidR="00D51D03" w:rsidRPr="00D425E3">
        <w:rPr>
          <w:lang w:val="fr-FR"/>
        </w:rPr>
        <w:t>entrée de devises dans le pays. Western Union, la société de services financiers la plus utilisée pour envoyer des fonds à Cuba, a cessé ses activités dans le pays. Les conséquences de ces mesures se font encore sentir. Outre leurs incidences générales sur l</w:t>
      </w:r>
      <w:r w:rsidR="00B37147" w:rsidRPr="00D425E3">
        <w:rPr>
          <w:lang w:val="fr-FR"/>
        </w:rPr>
        <w:t>’</w:t>
      </w:r>
      <w:r w:rsidR="00D51D03" w:rsidRPr="00D425E3">
        <w:rPr>
          <w:lang w:val="fr-FR"/>
        </w:rPr>
        <w:t>économie cubaine, ces mesures ont des conséquences particulièrement préjudiciables pour les personnes dont les revenus personnels dépendent de ces transferts de fonds et représentent une charge onéreuse pour ceux qui, depuis les États-Unis, envoient cet argent à leurs parents et à leurs proches à Cuba.</w:t>
      </w:r>
    </w:p>
    <w:p w14:paraId="672F0E09" w14:textId="23078E4E" w:rsidR="00D51D03" w:rsidRPr="00D425E3" w:rsidRDefault="0030272E" w:rsidP="0030272E">
      <w:pPr>
        <w:pStyle w:val="SingleTxt"/>
        <w:rPr>
          <w:lang w:val="fr-FR"/>
        </w:rPr>
      </w:pPr>
      <w:r w:rsidRPr="00D425E3">
        <w:rPr>
          <w:lang w:val="fr-FR"/>
        </w:rPr>
        <w:tab/>
      </w:r>
      <w:r w:rsidR="00D51D03" w:rsidRPr="00D425E3">
        <w:rPr>
          <w:lang w:val="fr-FR"/>
        </w:rPr>
        <w:t>Au cours de la période considérée, des poursuites ont été engagées en vertu du titre III de la loi Helms-Burton à sept reprises. Depuis l</w:t>
      </w:r>
      <w:r w:rsidR="00B37147" w:rsidRPr="00D425E3">
        <w:rPr>
          <w:lang w:val="fr-FR"/>
        </w:rPr>
        <w:t>’</w:t>
      </w:r>
      <w:r w:rsidR="00D51D03" w:rsidRPr="00D425E3">
        <w:rPr>
          <w:lang w:val="fr-FR"/>
        </w:rPr>
        <w:t xml:space="preserve">activation de ces dispositions, en mai 2019, des poursuites ont été engagées à 34 reprises au total. Par son caractère extraterritorial, cette loi viole la souveraineté des pays tiers, nuit aux intérêts de leurs nationaux et entrave leurs relations commerciales avec Cuba. </w:t>
      </w:r>
    </w:p>
    <w:p w14:paraId="4340AD3A" w14:textId="1DF65341" w:rsidR="00D51D03" w:rsidRPr="00D425E3" w:rsidRDefault="0030272E" w:rsidP="0030272E">
      <w:pPr>
        <w:pStyle w:val="SingleTxt"/>
        <w:rPr>
          <w:lang w:val="fr-FR"/>
        </w:rPr>
      </w:pPr>
      <w:r w:rsidRPr="00D425E3">
        <w:rPr>
          <w:lang w:val="fr-FR"/>
        </w:rPr>
        <w:tab/>
      </w:r>
      <w:r w:rsidR="00D51D03" w:rsidRPr="00D425E3">
        <w:rPr>
          <w:lang w:val="fr-FR"/>
        </w:rPr>
        <w:t>Les navires et les entreprises associés au transport de carburant ont continué à faire l</w:t>
      </w:r>
      <w:r w:rsidR="00B37147" w:rsidRPr="00D425E3">
        <w:rPr>
          <w:lang w:val="fr-FR"/>
        </w:rPr>
        <w:t>’</w:t>
      </w:r>
      <w:r w:rsidR="00D51D03" w:rsidRPr="00D425E3">
        <w:rPr>
          <w:lang w:val="fr-FR"/>
        </w:rPr>
        <w:t xml:space="preserve">objet de menaces et de mesures coercitives, ce qui a créé des difficultés considérables dans la vie quotidienne dans le pays et a directement porté préjudice aux familles cubaines. </w:t>
      </w:r>
    </w:p>
    <w:p w14:paraId="41EEF69F" w14:textId="76CFDEFE" w:rsidR="00D51D03" w:rsidRPr="00D425E3" w:rsidRDefault="0030272E" w:rsidP="0030272E">
      <w:pPr>
        <w:pStyle w:val="SingleTxt"/>
        <w:rPr>
          <w:lang w:val="fr-FR"/>
        </w:rPr>
      </w:pPr>
      <w:r w:rsidRPr="00D425E3">
        <w:rPr>
          <w:lang w:val="fr-FR"/>
        </w:rPr>
        <w:tab/>
      </w:r>
      <w:r w:rsidR="00D51D03" w:rsidRPr="00D425E3">
        <w:rPr>
          <w:lang w:val="fr-FR"/>
        </w:rPr>
        <w:t>Entre avril et décembre 2020, le préjudice monétaire et financier a atteint le montant de 404,2 millions de dollars. Cela représente une augmentation de 42</w:t>
      </w:r>
      <w:r w:rsidR="00B37147" w:rsidRPr="00D425E3">
        <w:rPr>
          <w:lang w:val="fr-FR"/>
        </w:rPr>
        <w:t> </w:t>
      </w:r>
      <w:r w:rsidR="00D51D03" w:rsidRPr="00D425E3">
        <w:rPr>
          <w:lang w:val="fr-FR"/>
        </w:rPr>
        <w:t>% par rapport à la période précédente et souligne la brutalité de la persécution financière dont Cuba a été la cible l</w:t>
      </w:r>
      <w:r w:rsidR="00B37147" w:rsidRPr="00D425E3">
        <w:rPr>
          <w:lang w:val="fr-FR"/>
        </w:rPr>
        <w:t>’</w:t>
      </w:r>
      <w:r w:rsidR="00D51D03" w:rsidRPr="00D425E3">
        <w:rPr>
          <w:lang w:val="fr-FR"/>
        </w:rPr>
        <w:t xml:space="preserve">année dernière. </w:t>
      </w:r>
    </w:p>
    <w:p w14:paraId="2530AFCC" w14:textId="28FFF0C8" w:rsidR="00D51D03" w:rsidRPr="00D425E3" w:rsidRDefault="0030272E" w:rsidP="0030272E">
      <w:pPr>
        <w:pStyle w:val="SingleTxt"/>
        <w:rPr>
          <w:lang w:val="fr-FR"/>
        </w:rPr>
      </w:pPr>
      <w:r w:rsidRPr="00D425E3">
        <w:rPr>
          <w:lang w:val="fr-FR"/>
        </w:rPr>
        <w:tab/>
      </w:r>
      <w:r w:rsidR="00D51D03" w:rsidRPr="00D425E3">
        <w:rPr>
          <w:lang w:val="fr-FR"/>
        </w:rPr>
        <w:t>En janvier 2021, les Etats-Unis ont inscrit Cuba sur la liste des États soutenant le terrorisme, qu</w:t>
      </w:r>
      <w:r w:rsidR="00B37147" w:rsidRPr="00D425E3">
        <w:rPr>
          <w:lang w:val="fr-FR"/>
        </w:rPr>
        <w:t>’</w:t>
      </w:r>
      <w:r w:rsidR="00D51D03" w:rsidRPr="00D425E3">
        <w:rPr>
          <w:lang w:val="fr-FR"/>
        </w:rPr>
        <w:t>ils établissent de façon unilatérale</w:t>
      </w:r>
      <w:r w:rsidR="00576145">
        <w:rPr>
          <w:lang w:val="fr-FR"/>
        </w:rPr>
        <w:t> </w:t>
      </w:r>
      <w:r w:rsidR="00D51D03" w:rsidRPr="00D425E3">
        <w:rPr>
          <w:lang w:val="fr-FR"/>
        </w:rPr>
        <w:t>; cette décision, qui a été largement contestée tant à l</w:t>
      </w:r>
      <w:r w:rsidR="00B37147" w:rsidRPr="00D425E3">
        <w:rPr>
          <w:lang w:val="fr-FR"/>
        </w:rPr>
        <w:t>’</w:t>
      </w:r>
      <w:r w:rsidR="00D51D03" w:rsidRPr="00D425E3">
        <w:rPr>
          <w:lang w:val="fr-FR"/>
        </w:rPr>
        <w:t>intérieur qu</w:t>
      </w:r>
      <w:r w:rsidR="00B37147" w:rsidRPr="00D425E3">
        <w:rPr>
          <w:lang w:val="fr-FR"/>
        </w:rPr>
        <w:t>’</w:t>
      </w:r>
      <w:r w:rsidR="00D51D03" w:rsidRPr="00D425E3">
        <w:rPr>
          <w:lang w:val="fr-FR"/>
        </w:rPr>
        <w:t>à l</w:t>
      </w:r>
      <w:r w:rsidR="00B37147" w:rsidRPr="00D425E3">
        <w:rPr>
          <w:lang w:val="fr-FR"/>
        </w:rPr>
        <w:t>’</w:t>
      </w:r>
      <w:r w:rsidR="00D51D03" w:rsidRPr="00D425E3">
        <w:rPr>
          <w:lang w:val="fr-FR"/>
        </w:rPr>
        <w:t xml:space="preserve">extérieur des États-Unis, renforce les conséquences du blocus en aggravant les difficultés que rencontre Cuba pour participer au commerce international, effectuer des opérations financières et acquérir des intrants de base. </w:t>
      </w:r>
    </w:p>
    <w:p w14:paraId="1F823641" w14:textId="71904AC0" w:rsidR="00D51D03" w:rsidRPr="00D425E3" w:rsidRDefault="0030272E" w:rsidP="0030272E">
      <w:pPr>
        <w:pStyle w:val="SingleTxt"/>
        <w:rPr>
          <w:lang w:val="fr-FR"/>
        </w:rPr>
      </w:pPr>
      <w:r w:rsidRPr="00D425E3">
        <w:rPr>
          <w:lang w:val="fr-FR"/>
        </w:rPr>
        <w:tab/>
      </w:r>
      <w:r w:rsidR="00D51D03" w:rsidRPr="00D425E3">
        <w:rPr>
          <w:lang w:val="fr-FR"/>
        </w:rPr>
        <w:t>Des dizaines de banques ont suspendu leurs opérations avec Cuba, y compris en ce qui concerne les transferts légitimes pour l</w:t>
      </w:r>
      <w:r w:rsidR="00B37147" w:rsidRPr="00D425E3">
        <w:rPr>
          <w:lang w:val="fr-FR"/>
        </w:rPr>
        <w:t>’</w:t>
      </w:r>
      <w:r w:rsidR="00D51D03" w:rsidRPr="00D425E3">
        <w:rPr>
          <w:lang w:val="fr-FR"/>
        </w:rPr>
        <w:t>achat de nourriture, de médicaments et de biens destinés à la population. Au beau milieu des difficultés créées par la pandémie de COVID-19, des dizaines de missions diplomatiques cubaines dans le monde ont été lâchées par les banques qui leur proposaient traditionnellement des services, celles-ci craignant de subir des représailles de la part du Gouvernement des États-Unis. Cette situation nuit au fonctionnement et aux moyens de subsistance des entités concernées et de leur personnel. Le durcissement du caractère extraterritorial du blocus dans la sphère financière touche également les personnes physiques. De nombreuses informations font état de cas de Cubains qui, alors même qu</w:t>
      </w:r>
      <w:r w:rsidR="00B37147" w:rsidRPr="00D425E3">
        <w:rPr>
          <w:lang w:val="fr-FR"/>
        </w:rPr>
        <w:t>’</w:t>
      </w:r>
      <w:r w:rsidR="00D51D03" w:rsidRPr="00D425E3">
        <w:rPr>
          <w:lang w:val="fr-FR"/>
        </w:rPr>
        <w:t>ils ne vivent pas à Cuba, se heurtent au refus de leurs banques d</w:t>
      </w:r>
      <w:r w:rsidR="00B37147" w:rsidRPr="00D425E3">
        <w:rPr>
          <w:lang w:val="fr-FR"/>
        </w:rPr>
        <w:t>’</w:t>
      </w:r>
      <w:r w:rsidR="00D51D03" w:rsidRPr="00D425E3">
        <w:rPr>
          <w:lang w:val="fr-FR"/>
        </w:rPr>
        <w:t>effectuer des transferts en rapport avec Cuba.</w:t>
      </w:r>
    </w:p>
    <w:p w14:paraId="74FFDE82" w14:textId="138DCD22" w:rsidR="00D51D03" w:rsidRPr="00D425E3" w:rsidRDefault="0030272E" w:rsidP="0030272E">
      <w:pPr>
        <w:pStyle w:val="SingleTxt"/>
        <w:rPr>
          <w:lang w:val="fr-FR"/>
        </w:rPr>
      </w:pPr>
      <w:r w:rsidRPr="00D425E3">
        <w:rPr>
          <w:lang w:val="fr-FR"/>
        </w:rPr>
        <w:tab/>
      </w:r>
      <w:r w:rsidR="00D51D03" w:rsidRPr="00D425E3">
        <w:rPr>
          <w:lang w:val="fr-FR"/>
        </w:rPr>
        <w:t>Le Bureau du contrôle des avoirs étrangers a continué d</w:t>
      </w:r>
      <w:r w:rsidR="00B37147" w:rsidRPr="00D425E3">
        <w:rPr>
          <w:lang w:val="fr-FR"/>
        </w:rPr>
        <w:t>’</w:t>
      </w:r>
      <w:r w:rsidR="00D51D03" w:rsidRPr="00D425E3">
        <w:rPr>
          <w:lang w:val="fr-FR"/>
        </w:rPr>
        <w:t xml:space="preserve">imposer des mesures coercitives à des entités américaines et à des entités de pays tiers en réponse à de </w:t>
      </w:r>
      <w:r w:rsidR="00D51D03" w:rsidRPr="00D425E3">
        <w:rPr>
          <w:lang w:val="fr-FR"/>
        </w:rPr>
        <w:lastRenderedPageBreak/>
        <w:t xml:space="preserve">prétendues violations du blocus. Pour la période allant de 2017 à 2020, le coût de ces sanctions a atteint un montant total de 3 761 876 629 dollars. </w:t>
      </w:r>
    </w:p>
    <w:p w14:paraId="2E3967CF" w14:textId="326FB3C3" w:rsidR="00D51D03" w:rsidRPr="00D425E3" w:rsidRDefault="0030272E" w:rsidP="0030272E">
      <w:pPr>
        <w:pStyle w:val="SingleTxt"/>
        <w:rPr>
          <w:lang w:val="fr-FR"/>
        </w:rPr>
      </w:pPr>
      <w:r w:rsidRPr="00D425E3">
        <w:rPr>
          <w:lang w:val="fr-FR"/>
        </w:rPr>
        <w:tab/>
      </w:r>
      <w:r w:rsidR="00D51D03" w:rsidRPr="00D425E3">
        <w:rPr>
          <w:lang w:val="fr-FR"/>
        </w:rPr>
        <w:t>Des restrictions des voyages des Américains à Cuba ont également été appliquées, mesures qui allaient à l</w:t>
      </w:r>
      <w:r w:rsidR="00B37147" w:rsidRPr="00D425E3">
        <w:rPr>
          <w:lang w:val="fr-FR"/>
        </w:rPr>
        <w:t>’</w:t>
      </w:r>
      <w:r w:rsidR="00D51D03" w:rsidRPr="00D425E3">
        <w:rPr>
          <w:lang w:val="fr-FR"/>
        </w:rPr>
        <w:t xml:space="preserve">encontre du soutien aux échanges entre les peuples de </w:t>
      </w:r>
      <w:proofErr w:type="gramStart"/>
      <w:r w:rsidR="00D51D03" w:rsidRPr="00D425E3">
        <w:rPr>
          <w:lang w:val="fr-FR"/>
        </w:rPr>
        <w:t>ces pays manifesté</w:t>
      </w:r>
      <w:proofErr w:type="gramEnd"/>
      <w:r w:rsidR="00D51D03" w:rsidRPr="00D425E3">
        <w:rPr>
          <w:lang w:val="fr-FR"/>
        </w:rPr>
        <w:t xml:space="preserve"> par de larges secteurs aux États-Unis. En septembre 2020, l</w:t>
      </w:r>
      <w:r w:rsidR="00B37147" w:rsidRPr="00D425E3">
        <w:rPr>
          <w:lang w:val="fr-FR"/>
        </w:rPr>
        <w:t>’</w:t>
      </w:r>
      <w:r w:rsidR="00D51D03" w:rsidRPr="00D425E3">
        <w:rPr>
          <w:lang w:val="fr-FR"/>
        </w:rPr>
        <w:t>autorisation qui permettait à des personnes relevant de la juridiction des États-Unis d</w:t>
      </w:r>
      <w:r w:rsidR="00B37147" w:rsidRPr="00D425E3">
        <w:rPr>
          <w:lang w:val="fr-FR"/>
        </w:rPr>
        <w:t>’</w:t>
      </w:r>
      <w:r w:rsidR="00D51D03" w:rsidRPr="00D425E3">
        <w:rPr>
          <w:lang w:val="fr-FR"/>
        </w:rPr>
        <w:t>organiser des réunions ou des conférences professionnelles à Cuba ou d</w:t>
      </w:r>
      <w:r w:rsidR="00B37147" w:rsidRPr="00D425E3">
        <w:rPr>
          <w:lang w:val="fr-FR"/>
        </w:rPr>
        <w:t>’</w:t>
      </w:r>
      <w:r w:rsidR="00D51D03" w:rsidRPr="00D425E3">
        <w:rPr>
          <w:lang w:val="fr-FR"/>
        </w:rPr>
        <w:t>y assister a été supprimée, ainsi que l</w:t>
      </w:r>
      <w:r w:rsidR="00B37147" w:rsidRPr="00D425E3">
        <w:rPr>
          <w:lang w:val="fr-FR"/>
        </w:rPr>
        <w:t>’</w:t>
      </w:r>
      <w:r w:rsidR="00D51D03" w:rsidRPr="00D425E3">
        <w:rPr>
          <w:lang w:val="fr-FR"/>
        </w:rPr>
        <w:t>autorisation d</w:t>
      </w:r>
      <w:r w:rsidR="00B37147" w:rsidRPr="00D425E3">
        <w:rPr>
          <w:lang w:val="fr-FR"/>
        </w:rPr>
        <w:t>’</w:t>
      </w:r>
      <w:r w:rsidR="00D51D03" w:rsidRPr="00D425E3">
        <w:rPr>
          <w:lang w:val="fr-FR"/>
        </w:rPr>
        <w:t>effectuer des démarches liées à des spectacles publics, à des expositions et à des compétitions sportives, entre autres. En outre, une liste d</w:t>
      </w:r>
      <w:r w:rsidR="00B37147" w:rsidRPr="00D425E3">
        <w:rPr>
          <w:lang w:val="fr-FR"/>
        </w:rPr>
        <w:t>’</w:t>
      </w:r>
      <w:r w:rsidR="00D51D03" w:rsidRPr="00D425E3">
        <w:rPr>
          <w:lang w:val="fr-FR"/>
        </w:rPr>
        <w:t xml:space="preserve">hébergements interdits à Cuba, comprenant 422 hôtels et maisons à louer, a été établie. </w:t>
      </w:r>
    </w:p>
    <w:p w14:paraId="0185DB33" w14:textId="24915753" w:rsidR="00D51D03" w:rsidRPr="00D425E3" w:rsidRDefault="0030272E" w:rsidP="0030272E">
      <w:pPr>
        <w:pStyle w:val="SingleTxt"/>
        <w:rPr>
          <w:lang w:val="fr-FR"/>
        </w:rPr>
      </w:pPr>
      <w:r w:rsidRPr="00D425E3">
        <w:rPr>
          <w:lang w:val="fr-FR"/>
        </w:rPr>
        <w:tab/>
      </w:r>
      <w:r w:rsidR="00D51D03" w:rsidRPr="00D425E3">
        <w:rPr>
          <w:lang w:val="fr-FR"/>
        </w:rPr>
        <w:t>Les restrictions concernant les voyages et les transferts de fonds ont des conséquences aussi bien pour le secteur public que pour le secteur privé de Cuba. Si ces obstacles étaient supprimés, de nombreux professionnels des transports, propriétaires de logements, artisans, entre autres, pourraient percevoir des revenus plus élevés et auraient de plus grandes possibilités de développement de leur activité économique.</w:t>
      </w:r>
      <w:r w:rsidR="00B37147" w:rsidRPr="00D425E3">
        <w:rPr>
          <w:lang w:val="fr-FR"/>
        </w:rPr>
        <w:t xml:space="preserve"> </w:t>
      </w:r>
    </w:p>
    <w:p w14:paraId="5DA8414C" w14:textId="5C34620E" w:rsidR="00D51D03" w:rsidRPr="00D425E3" w:rsidRDefault="0030272E" w:rsidP="0030272E">
      <w:pPr>
        <w:pStyle w:val="SingleTxt"/>
        <w:rPr>
          <w:lang w:val="fr-FR"/>
        </w:rPr>
      </w:pPr>
      <w:r w:rsidRPr="00D425E3">
        <w:rPr>
          <w:lang w:val="fr-FR"/>
        </w:rPr>
        <w:tab/>
      </w:r>
      <w:r w:rsidR="00D51D03" w:rsidRPr="00D425E3">
        <w:rPr>
          <w:lang w:val="fr-FR"/>
        </w:rPr>
        <w:t>Les intérêts des entreprises américaines ont eux aussi été touchés par le renforcement du blocus. En juin 2020, on a appris que le Département du Trésor des États-Unis a refusé à l</w:t>
      </w:r>
      <w:r w:rsidR="00B37147" w:rsidRPr="00D425E3">
        <w:rPr>
          <w:lang w:val="fr-FR"/>
        </w:rPr>
        <w:t>’</w:t>
      </w:r>
      <w:r w:rsidR="00D51D03" w:rsidRPr="00D425E3">
        <w:rPr>
          <w:lang w:val="fr-FR"/>
        </w:rPr>
        <w:t>entreprise Marriott International le renouvellement de la licence qui lui permettait d</w:t>
      </w:r>
      <w:r w:rsidR="00B37147" w:rsidRPr="00D425E3">
        <w:rPr>
          <w:lang w:val="fr-FR"/>
        </w:rPr>
        <w:t>’</w:t>
      </w:r>
      <w:r w:rsidR="00D51D03" w:rsidRPr="00D425E3">
        <w:rPr>
          <w:lang w:val="fr-FR"/>
        </w:rPr>
        <w:t>exploiter un hôtel à Cuba et lui a interdit d</w:t>
      </w:r>
      <w:r w:rsidR="00B37147" w:rsidRPr="00D425E3">
        <w:rPr>
          <w:lang w:val="fr-FR"/>
        </w:rPr>
        <w:t>’</w:t>
      </w:r>
      <w:r w:rsidR="00D51D03" w:rsidRPr="00D425E3">
        <w:rPr>
          <w:lang w:val="fr-FR"/>
        </w:rPr>
        <w:t>entreprendre des activités à l</w:t>
      </w:r>
      <w:r w:rsidR="00B37147" w:rsidRPr="00D425E3">
        <w:rPr>
          <w:lang w:val="fr-FR"/>
        </w:rPr>
        <w:t>’</w:t>
      </w:r>
      <w:r w:rsidR="00D51D03" w:rsidRPr="00D425E3">
        <w:rPr>
          <w:lang w:val="fr-FR"/>
        </w:rPr>
        <w:t>avenir dans le pays.</w:t>
      </w:r>
    </w:p>
    <w:p w14:paraId="4E83735C" w14:textId="20C70586" w:rsidR="00D51D03" w:rsidRPr="00D425E3" w:rsidRDefault="0030272E" w:rsidP="0030272E">
      <w:pPr>
        <w:pStyle w:val="SingleTxt"/>
        <w:rPr>
          <w:lang w:val="fr-FR"/>
        </w:rPr>
      </w:pPr>
      <w:r w:rsidRPr="00D425E3">
        <w:rPr>
          <w:lang w:val="fr-FR"/>
        </w:rPr>
        <w:tab/>
      </w:r>
      <w:r w:rsidR="00D51D03" w:rsidRPr="00D425E3">
        <w:rPr>
          <w:lang w:val="fr-FR"/>
        </w:rPr>
        <w:t>Cette politique empêche les entreprises cubaines et américaines de progresser dans la conclusion d</w:t>
      </w:r>
      <w:r w:rsidR="00B37147" w:rsidRPr="00D425E3">
        <w:rPr>
          <w:lang w:val="fr-FR"/>
        </w:rPr>
        <w:t>’</w:t>
      </w:r>
      <w:r w:rsidR="00D51D03" w:rsidRPr="00D425E3">
        <w:rPr>
          <w:lang w:val="fr-FR"/>
        </w:rPr>
        <w:t>accords mutuellement bénéfiques dans plusieurs secteurs, dont les télécommunications. Dans ce secteur, les répercussions du blocus ont entravé des accords conclus précédemment établis, comme le projet de location de capacités sur un câble sous-marin entre l</w:t>
      </w:r>
      <w:r w:rsidR="00B37147" w:rsidRPr="00D425E3">
        <w:rPr>
          <w:lang w:val="fr-FR"/>
        </w:rPr>
        <w:t>’</w:t>
      </w:r>
      <w:r w:rsidR="00D51D03" w:rsidRPr="00D425E3">
        <w:rPr>
          <w:lang w:val="fr-FR"/>
        </w:rPr>
        <w:t>entreprise cubaine de télécommunications ETECSA et la société C and W Networks. Cette dernière a sollicité la licence requise auprès de la Commission fédérale des communications en septembre 2018, avant de retirer sa demande en octobre 2020, celle-ci étant restée sans réponse.</w:t>
      </w:r>
    </w:p>
    <w:p w14:paraId="646EB0E4" w14:textId="3A0CA04A" w:rsidR="00D51D03" w:rsidRPr="00D425E3" w:rsidRDefault="0030272E" w:rsidP="0030272E">
      <w:pPr>
        <w:pStyle w:val="SingleTxt"/>
        <w:rPr>
          <w:lang w:val="fr-FR"/>
        </w:rPr>
      </w:pPr>
      <w:r w:rsidRPr="00D425E3">
        <w:rPr>
          <w:lang w:val="fr-FR"/>
        </w:rPr>
        <w:tab/>
      </w:r>
      <w:r w:rsidR="00D51D03" w:rsidRPr="00D425E3">
        <w:rPr>
          <w:lang w:val="fr-FR"/>
        </w:rPr>
        <w:t xml:space="preserve">Les négociations entre FedEx et le groupe commercial </w:t>
      </w:r>
      <w:proofErr w:type="spellStart"/>
      <w:r w:rsidR="00D51D03" w:rsidRPr="00D425E3">
        <w:rPr>
          <w:lang w:val="fr-FR"/>
        </w:rPr>
        <w:t>Correos</w:t>
      </w:r>
      <w:proofErr w:type="spellEnd"/>
      <w:r w:rsidR="00D51D03" w:rsidRPr="00D425E3">
        <w:rPr>
          <w:lang w:val="fr-FR"/>
        </w:rPr>
        <w:t xml:space="preserve"> de Cuba se heurtent à une situation similaire. Les deux entreprises ont convenu de commencer leurs opérations en mai 2019, mais FedEx a décidé de reporter le début des opérations à janvier 2020, en raison du refroidissement des relations bilatérales entre Cuba et les États-Unis. Depuis lors, la société n</w:t>
      </w:r>
      <w:r w:rsidR="00B37147" w:rsidRPr="00D425E3">
        <w:rPr>
          <w:lang w:val="fr-FR"/>
        </w:rPr>
        <w:t>’</w:t>
      </w:r>
      <w:r w:rsidR="00D51D03" w:rsidRPr="00D425E3">
        <w:rPr>
          <w:lang w:val="fr-FR"/>
        </w:rPr>
        <w:t xml:space="preserve">a cessé de reporter le début des opérations, en faisant valoir les mêmes motifs. </w:t>
      </w:r>
    </w:p>
    <w:p w14:paraId="5C87E94E" w14:textId="2B69736C" w:rsidR="00D51D03" w:rsidRPr="00D425E3" w:rsidRDefault="0030272E" w:rsidP="0030272E">
      <w:pPr>
        <w:pStyle w:val="SingleTxt"/>
        <w:rPr>
          <w:lang w:val="fr-FR"/>
        </w:rPr>
      </w:pPr>
      <w:r w:rsidRPr="00D425E3">
        <w:rPr>
          <w:lang w:val="fr-FR"/>
        </w:rPr>
        <w:tab/>
      </w:r>
      <w:proofErr w:type="spellStart"/>
      <w:r w:rsidR="00D51D03" w:rsidRPr="00D425E3">
        <w:rPr>
          <w:lang w:val="fr-FR"/>
        </w:rPr>
        <w:t>Plueiurs</w:t>
      </w:r>
      <w:proofErr w:type="spellEnd"/>
      <w:r w:rsidR="00D51D03" w:rsidRPr="00D425E3">
        <w:rPr>
          <w:lang w:val="fr-FR"/>
        </w:rPr>
        <w:t xml:space="preserve"> comptes de médias cubains sur diverses plateformes numériques ont été supprimés. En août 2020, alors que Cuba s</w:t>
      </w:r>
      <w:r w:rsidR="00B37147" w:rsidRPr="00D425E3">
        <w:rPr>
          <w:lang w:val="fr-FR"/>
        </w:rPr>
        <w:t>’</w:t>
      </w:r>
      <w:r w:rsidR="00D51D03" w:rsidRPr="00D425E3">
        <w:rPr>
          <w:lang w:val="fr-FR"/>
        </w:rPr>
        <w:t>apprêtait à annoncer qu</w:t>
      </w:r>
      <w:r w:rsidR="00B37147" w:rsidRPr="00D425E3">
        <w:rPr>
          <w:lang w:val="fr-FR"/>
        </w:rPr>
        <w:t>’</w:t>
      </w:r>
      <w:r w:rsidR="00D51D03" w:rsidRPr="00D425E3">
        <w:rPr>
          <w:lang w:val="fr-FR"/>
        </w:rPr>
        <w:t>il disposait d</w:t>
      </w:r>
      <w:r w:rsidR="00B37147" w:rsidRPr="00D425E3">
        <w:rPr>
          <w:lang w:val="fr-FR"/>
        </w:rPr>
        <w:t>’</w:t>
      </w:r>
      <w:r w:rsidR="00D51D03" w:rsidRPr="00D425E3">
        <w:rPr>
          <w:lang w:val="fr-FR"/>
        </w:rPr>
        <w:t xml:space="preserve">un premier candidat vaccin contre la COVID-19, Google a censuré les pages YouTube des médias Granma, Mesa Redonda et </w:t>
      </w:r>
      <w:proofErr w:type="spellStart"/>
      <w:r w:rsidR="00D51D03" w:rsidRPr="00D425E3">
        <w:rPr>
          <w:lang w:val="fr-FR"/>
        </w:rPr>
        <w:t>Cubavisión</w:t>
      </w:r>
      <w:proofErr w:type="spellEnd"/>
      <w:r w:rsidR="00D51D03" w:rsidRPr="00D425E3">
        <w:rPr>
          <w:lang w:val="fr-FR"/>
        </w:rPr>
        <w:t xml:space="preserve"> Internacional, en prétextant de prétendues violations des lois américaines sur l</w:t>
      </w:r>
      <w:r w:rsidR="00B37147" w:rsidRPr="00D425E3">
        <w:rPr>
          <w:lang w:val="fr-FR"/>
        </w:rPr>
        <w:t>’</w:t>
      </w:r>
      <w:r w:rsidR="00D51D03" w:rsidRPr="00D425E3">
        <w:rPr>
          <w:lang w:val="fr-FR"/>
        </w:rPr>
        <w:t xml:space="preserve">exportation. </w:t>
      </w:r>
    </w:p>
    <w:p w14:paraId="6C6860B0" w14:textId="6529EB50" w:rsidR="00D51D03" w:rsidRPr="00D425E3" w:rsidRDefault="0030272E" w:rsidP="0030272E">
      <w:pPr>
        <w:pStyle w:val="SingleTxt"/>
        <w:rPr>
          <w:lang w:val="fr-FR"/>
        </w:rPr>
      </w:pPr>
      <w:r w:rsidRPr="00D425E3">
        <w:rPr>
          <w:lang w:val="fr-FR"/>
        </w:rPr>
        <w:tab/>
      </w:r>
      <w:r w:rsidR="00D51D03" w:rsidRPr="00D425E3">
        <w:rPr>
          <w:lang w:val="fr-FR"/>
        </w:rPr>
        <w:t>Le secteur agricole est un autre secteur particulièrement touché par le blocus. La perte de revenus provenant des exportations de biens et de services, les coûts supplémentaires découlant de la délocalisation géographique du commerce et d</w:t>
      </w:r>
      <w:r w:rsidR="00B37147" w:rsidRPr="00D425E3">
        <w:rPr>
          <w:lang w:val="fr-FR"/>
        </w:rPr>
        <w:t>’</w:t>
      </w:r>
      <w:r w:rsidR="00D51D03" w:rsidRPr="00D425E3">
        <w:rPr>
          <w:lang w:val="fr-FR"/>
        </w:rPr>
        <w:t>autres obstacles entravant l</w:t>
      </w:r>
      <w:r w:rsidR="00B37147" w:rsidRPr="00D425E3">
        <w:rPr>
          <w:lang w:val="fr-FR"/>
        </w:rPr>
        <w:t>’</w:t>
      </w:r>
      <w:r w:rsidR="00D51D03" w:rsidRPr="00D425E3">
        <w:rPr>
          <w:lang w:val="fr-FR"/>
        </w:rPr>
        <w:t>acquisition de technologies et de combustibles ont gravement nui à la production et à l</w:t>
      </w:r>
      <w:r w:rsidR="00B37147" w:rsidRPr="00D425E3">
        <w:rPr>
          <w:lang w:val="fr-FR"/>
        </w:rPr>
        <w:t>’</w:t>
      </w:r>
      <w:r w:rsidR="00D51D03" w:rsidRPr="00D425E3">
        <w:rPr>
          <w:lang w:val="fr-FR"/>
        </w:rPr>
        <w:t>acquisition de denrées alimentaires à Cuba, ce qui a entraîné des pertes représentant un montant qui s</w:t>
      </w:r>
      <w:r w:rsidR="00B37147" w:rsidRPr="00D425E3">
        <w:rPr>
          <w:lang w:val="fr-FR"/>
        </w:rPr>
        <w:t>’</w:t>
      </w:r>
      <w:r w:rsidR="00D51D03" w:rsidRPr="00D425E3">
        <w:rPr>
          <w:lang w:val="fr-FR"/>
        </w:rPr>
        <w:t xml:space="preserve">est élevé à 330 466 millions de dollars pour la période comprise entre avril et décembre 2020. </w:t>
      </w:r>
    </w:p>
    <w:p w14:paraId="1DC3F335" w14:textId="69A6D8F1" w:rsidR="00D51D03" w:rsidRPr="00D425E3" w:rsidRDefault="0030272E" w:rsidP="0030272E">
      <w:pPr>
        <w:pStyle w:val="SingleTxt"/>
        <w:rPr>
          <w:lang w:val="fr-FR"/>
        </w:rPr>
      </w:pPr>
      <w:r w:rsidRPr="00D425E3">
        <w:rPr>
          <w:lang w:val="fr-FR"/>
        </w:rPr>
        <w:tab/>
      </w:r>
      <w:r w:rsidR="00D51D03" w:rsidRPr="00D425E3">
        <w:rPr>
          <w:lang w:val="fr-FR"/>
        </w:rPr>
        <w:t xml:space="preserve">Le secteur agricole américain pâtit lui aussi de cette situation. Comme indiqué dans la lettre envoyée par la United States Agriculture Coalition for Cuba au Président </w:t>
      </w:r>
      <w:r w:rsidR="00D51D03" w:rsidRPr="00D425E3">
        <w:rPr>
          <w:lang w:val="fr-FR"/>
        </w:rPr>
        <w:lastRenderedPageBreak/>
        <w:t>Joseph Biden en janvier 2021, Cuba représente une perspective de débouchés pour les agriculteurs et les éleveurs américains, car elle importe chaque année des denrées alimentaires d</w:t>
      </w:r>
      <w:r w:rsidR="00B37147" w:rsidRPr="00D425E3">
        <w:rPr>
          <w:lang w:val="fr-FR"/>
        </w:rPr>
        <w:t>’</w:t>
      </w:r>
      <w:r w:rsidR="00D51D03" w:rsidRPr="00D425E3">
        <w:rPr>
          <w:lang w:val="fr-FR"/>
        </w:rPr>
        <w:t>une valeur d</w:t>
      </w:r>
      <w:r w:rsidR="00B37147" w:rsidRPr="00D425E3">
        <w:rPr>
          <w:lang w:val="fr-FR"/>
        </w:rPr>
        <w:t>’</w:t>
      </w:r>
      <w:r w:rsidR="00D51D03" w:rsidRPr="00D425E3">
        <w:rPr>
          <w:lang w:val="fr-FR"/>
        </w:rPr>
        <w:t>environ 2 milliards de dollars, dont seuls moins de 10</w:t>
      </w:r>
      <w:r w:rsidR="00DE1723" w:rsidRPr="00D425E3">
        <w:rPr>
          <w:lang w:val="fr-FR"/>
        </w:rPr>
        <w:t> </w:t>
      </w:r>
      <w:r w:rsidR="00D51D03" w:rsidRPr="00D425E3">
        <w:rPr>
          <w:lang w:val="fr-FR"/>
        </w:rPr>
        <w:t>% proviennent des États-Unis. Si les barrières commerciales entre les deux pays étaient supprimées, les exportations américaines de plusieurs produits agricoles pourraient augmenter de manière significative.</w:t>
      </w:r>
    </w:p>
    <w:p w14:paraId="5932ABBE" w14:textId="419AE750" w:rsidR="00D51D03" w:rsidRPr="00D425E3" w:rsidRDefault="0030272E" w:rsidP="0030272E">
      <w:pPr>
        <w:pStyle w:val="SingleTxt"/>
        <w:rPr>
          <w:lang w:val="fr-FR"/>
        </w:rPr>
      </w:pPr>
      <w:r w:rsidRPr="00D425E3">
        <w:rPr>
          <w:lang w:val="fr-FR"/>
        </w:rPr>
        <w:tab/>
      </w:r>
      <w:r w:rsidR="00D51D03" w:rsidRPr="00D425E3">
        <w:rPr>
          <w:lang w:val="fr-FR"/>
        </w:rPr>
        <w:t>Ces derniers mois, on a assisté à de nombreuses prises de position, tant à l</w:t>
      </w:r>
      <w:r w:rsidR="00B37147" w:rsidRPr="00D425E3">
        <w:rPr>
          <w:lang w:val="fr-FR"/>
        </w:rPr>
        <w:t>’</w:t>
      </w:r>
      <w:r w:rsidR="00D51D03" w:rsidRPr="00D425E3">
        <w:rPr>
          <w:lang w:val="fr-FR"/>
        </w:rPr>
        <w:t>intérieur qu</w:t>
      </w:r>
      <w:r w:rsidR="00B37147" w:rsidRPr="00D425E3">
        <w:rPr>
          <w:lang w:val="fr-FR"/>
        </w:rPr>
        <w:t>’</w:t>
      </w:r>
      <w:r w:rsidR="00D51D03" w:rsidRPr="00D425E3">
        <w:rPr>
          <w:lang w:val="fr-FR"/>
        </w:rPr>
        <w:t>à l</w:t>
      </w:r>
      <w:r w:rsidR="00B37147" w:rsidRPr="00D425E3">
        <w:rPr>
          <w:lang w:val="fr-FR"/>
        </w:rPr>
        <w:t>’</w:t>
      </w:r>
      <w:r w:rsidR="00D51D03" w:rsidRPr="00D425E3">
        <w:rPr>
          <w:lang w:val="fr-FR"/>
        </w:rPr>
        <w:t>extérieur des États-Unis, visant à appeler le Président Biden à utiliser ses prérogatives pour modifier l</w:t>
      </w:r>
      <w:r w:rsidR="00B37147" w:rsidRPr="00D425E3">
        <w:rPr>
          <w:lang w:val="fr-FR"/>
        </w:rPr>
        <w:t>’</w:t>
      </w:r>
      <w:r w:rsidR="00D51D03" w:rsidRPr="00D425E3">
        <w:rPr>
          <w:lang w:val="fr-FR"/>
        </w:rPr>
        <w:t>application du blocus ainsi que son impact humanitaire et économique. En février 2021, 56 organisations américaines, dont des organisations religieuses, écologistes et universitaires, parmi lesquelles figuraient des groupes d</w:t>
      </w:r>
      <w:r w:rsidR="00B37147" w:rsidRPr="00D425E3">
        <w:rPr>
          <w:lang w:val="fr-FR"/>
        </w:rPr>
        <w:t>’</w:t>
      </w:r>
      <w:r w:rsidR="00D51D03" w:rsidRPr="00D425E3">
        <w:rPr>
          <w:lang w:val="fr-FR"/>
        </w:rPr>
        <w:t>avocats et des groupes de défense des droits humains, ont signé une lettre dans laquelle elles ont exhorté le Président à revenir sur les politiques de l</w:t>
      </w:r>
      <w:r w:rsidR="00B37147" w:rsidRPr="00D425E3">
        <w:rPr>
          <w:lang w:val="fr-FR"/>
        </w:rPr>
        <w:t>’</w:t>
      </w:r>
      <w:r w:rsidR="00D51D03" w:rsidRPr="00D425E3">
        <w:rPr>
          <w:lang w:val="fr-FR"/>
        </w:rPr>
        <w:t>ancien Président Donald Trump. Plusieurs parlementaires américains ont écrit à l</w:t>
      </w:r>
      <w:r w:rsidR="00B37147" w:rsidRPr="00D425E3">
        <w:rPr>
          <w:lang w:val="fr-FR"/>
        </w:rPr>
        <w:t>’</w:t>
      </w:r>
      <w:r w:rsidR="00D51D03" w:rsidRPr="00D425E3">
        <w:rPr>
          <w:lang w:val="fr-FR"/>
        </w:rPr>
        <w:t xml:space="preserve">Administration actuelle dans le même but. </w:t>
      </w:r>
    </w:p>
    <w:p w14:paraId="21304AC0" w14:textId="5BB625FE" w:rsidR="00D51D03" w:rsidRPr="00D425E3" w:rsidRDefault="0030272E" w:rsidP="0030272E">
      <w:pPr>
        <w:pStyle w:val="SingleTxt"/>
        <w:rPr>
          <w:lang w:val="fr-FR"/>
        </w:rPr>
      </w:pPr>
      <w:r w:rsidRPr="00D425E3">
        <w:rPr>
          <w:lang w:val="fr-FR"/>
        </w:rPr>
        <w:tab/>
      </w:r>
      <w:r w:rsidR="00D51D03" w:rsidRPr="00D425E3">
        <w:rPr>
          <w:lang w:val="fr-FR"/>
        </w:rPr>
        <w:t>Dans ses efforts en vue de la levée du blocus, Cuba bénéficie depuis longtemps du soutien de l</w:t>
      </w:r>
      <w:r w:rsidR="00B37147" w:rsidRPr="00D425E3">
        <w:rPr>
          <w:lang w:val="fr-FR"/>
        </w:rPr>
        <w:t>’</w:t>
      </w:r>
      <w:r w:rsidR="00D51D03" w:rsidRPr="00D425E3">
        <w:rPr>
          <w:lang w:val="fr-FR"/>
        </w:rPr>
        <w:t>immense majorité de la communauté internationale. Nous sommes convaincus que cette soixante-quinzième session de l</w:t>
      </w:r>
      <w:r w:rsidR="00B37147" w:rsidRPr="00D425E3">
        <w:rPr>
          <w:lang w:val="fr-FR"/>
        </w:rPr>
        <w:t>’</w:t>
      </w:r>
      <w:r w:rsidR="00D51D03" w:rsidRPr="00D425E3">
        <w:rPr>
          <w:lang w:val="fr-FR"/>
        </w:rPr>
        <w:t>Assemblée générale sera de nouveau l</w:t>
      </w:r>
      <w:r w:rsidR="00B37147" w:rsidRPr="00D425E3">
        <w:rPr>
          <w:lang w:val="fr-FR"/>
        </w:rPr>
        <w:t>’</w:t>
      </w:r>
      <w:r w:rsidR="00D51D03" w:rsidRPr="00D425E3">
        <w:rPr>
          <w:lang w:val="fr-FR"/>
        </w:rPr>
        <w:t>occasion de réitérer la condamnation internationale de cette politique irrationnelle et cruelle, qui viole les principes énoncés dans la Charte des Nations Unies et par le droit international.</w:t>
      </w:r>
      <w:r w:rsidR="00B37147" w:rsidRPr="00D425E3">
        <w:rPr>
          <w:lang w:val="fr-FR"/>
        </w:rPr>
        <w:t xml:space="preserve"> </w:t>
      </w:r>
    </w:p>
    <w:p w14:paraId="5DE76AAF" w14:textId="1A61F89B" w:rsidR="00D51D03" w:rsidRPr="00D425E3" w:rsidRDefault="0030272E" w:rsidP="0030272E">
      <w:pPr>
        <w:pStyle w:val="SingleTxt"/>
        <w:spacing w:after="0" w:line="240" w:lineRule="auto"/>
        <w:rPr>
          <w:lang w:val="fr-FR"/>
        </w:rPr>
      </w:pPr>
      <w:r w:rsidRPr="00D425E3">
        <w:rPr>
          <w:noProof/>
          <w:w w:val="100"/>
          <w:lang w:val="fr-FR"/>
        </w:rPr>
        <mc:AlternateContent>
          <mc:Choice Requires="wps">
            <w:drawing>
              <wp:anchor distT="0" distB="0" distL="114300" distR="114300" simplePos="0" relativeHeight="251659264" behindDoc="0" locked="0" layoutInCell="1" allowOverlap="1" wp14:anchorId="3B8B0868" wp14:editId="5BEF6AD5">
                <wp:simplePos x="0" y="0"/>
                <wp:positionH relativeFrom="page">
                  <wp:posOffset>3429000</wp:posOffset>
                </wp:positionH>
                <wp:positionV relativeFrom="paragraph">
                  <wp:posOffset>304800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658895"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D51D03" w:rsidRPr="00D425E3" w:rsidSect="00D51D03">
      <w:type w:val="continuous"/>
      <w:pgSz w:w="12240" w:h="15840"/>
      <w:pgMar w:top="1440" w:right="1200" w:bottom="1152" w:left="1200"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66BEA" w14:textId="77777777" w:rsidR="00EE1A45" w:rsidRDefault="00EE1A45" w:rsidP="00101B18">
      <w:pPr>
        <w:spacing w:line="240" w:lineRule="auto"/>
      </w:pPr>
      <w:r>
        <w:separator/>
      </w:r>
    </w:p>
  </w:endnote>
  <w:endnote w:type="continuationSeparator" w:id="0">
    <w:p w14:paraId="165B7B86" w14:textId="77777777" w:rsidR="00EE1A45" w:rsidRDefault="00EE1A45" w:rsidP="00101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BF6D2E" w14:paraId="1BD41860" w14:textId="77777777" w:rsidTr="00BF6D2E">
      <w:tc>
        <w:tcPr>
          <w:tcW w:w="4920" w:type="dxa"/>
          <w:shd w:val="clear" w:color="auto" w:fill="auto"/>
        </w:tcPr>
        <w:p w14:paraId="4DFFDD37" w14:textId="4CBD2325" w:rsidR="00BF6D2E" w:rsidRPr="00BF6D2E" w:rsidRDefault="00BF6D2E" w:rsidP="00BF6D2E">
          <w:pPr>
            <w:pStyle w:val="Piedepgina"/>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01D72">
            <w:rPr>
              <w:b w:val="0"/>
              <w:w w:val="103"/>
              <w:sz w:val="14"/>
            </w:rPr>
            <w:t>21-06979</w:t>
          </w:r>
          <w:r>
            <w:rPr>
              <w:b w:val="0"/>
              <w:w w:val="103"/>
              <w:sz w:val="14"/>
            </w:rPr>
            <w:fldChar w:fldCharType="end"/>
          </w:r>
        </w:p>
      </w:tc>
      <w:tc>
        <w:tcPr>
          <w:tcW w:w="4920" w:type="dxa"/>
          <w:shd w:val="clear" w:color="auto" w:fill="auto"/>
        </w:tcPr>
        <w:p w14:paraId="6BD66B02" w14:textId="77777777" w:rsidR="00BF6D2E" w:rsidRPr="00BF6D2E" w:rsidRDefault="00BF6D2E" w:rsidP="00BF6D2E">
          <w:pPr>
            <w:pStyle w:val="Piedepgina"/>
            <w:rPr>
              <w:w w:val="103"/>
            </w:rPr>
          </w:pPr>
          <w:r>
            <w:rPr>
              <w:w w:val="103"/>
            </w:rPr>
            <w:fldChar w:fldCharType="begin"/>
          </w:r>
          <w:r>
            <w:rPr>
              <w:w w:val="103"/>
            </w:rPr>
            <w:instrText xml:space="preserve"> PAGE  \* Arabic  \* MERGEFORMAT </w:instrText>
          </w:r>
          <w:r>
            <w:rPr>
              <w:w w:val="103"/>
            </w:rPr>
            <w:fldChar w:fldCharType="separate"/>
          </w:r>
          <w:r>
            <w:rPr>
              <w:noProof/>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4</w:t>
          </w:r>
          <w:r>
            <w:rPr>
              <w:w w:val="103"/>
            </w:rPr>
            <w:fldChar w:fldCharType="end"/>
          </w:r>
        </w:p>
      </w:tc>
    </w:tr>
  </w:tbl>
  <w:p w14:paraId="32B7DD0A" w14:textId="77777777" w:rsidR="00BF6D2E" w:rsidRPr="00BF6D2E" w:rsidRDefault="00BF6D2E" w:rsidP="00BF6D2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BF6D2E" w14:paraId="77CEE07F" w14:textId="77777777" w:rsidTr="00BF6D2E">
      <w:tc>
        <w:tcPr>
          <w:tcW w:w="4920" w:type="dxa"/>
          <w:shd w:val="clear" w:color="auto" w:fill="auto"/>
        </w:tcPr>
        <w:p w14:paraId="008D161D" w14:textId="77777777" w:rsidR="00BF6D2E" w:rsidRPr="00BF6D2E" w:rsidRDefault="00BF6D2E" w:rsidP="00BF6D2E">
          <w:pPr>
            <w:pStyle w:val="Piedepgina"/>
            <w:jc w:val="right"/>
            <w:rPr>
              <w:w w:val="103"/>
            </w:rPr>
          </w:pPr>
          <w:r>
            <w:rPr>
              <w:w w:val="103"/>
            </w:rPr>
            <w:fldChar w:fldCharType="begin"/>
          </w:r>
          <w:r>
            <w:rPr>
              <w:w w:val="103"/>
            </w:rPr>
            <w:instrText xml:space="preserve"> PAGE  \* Arabic  \* MERGEFORMAT </w:instrText>
          </w:r>
          <w:r>
            <w:rPr>
              <w:w w:val="103"/>
            </w:rPr>
            <w:fldChar w:fldCharType="separate"/>
          </w:r>
          <w:r>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3</w:t>
          </w:r>
          <w:r>
            <w:rPr>
              <w:w w:val="103"/>
            </w:rPr>
            <w:fldChar w:fldCharType="end"/>
          </w:r>
        </w:p>
      </w:tc>
      <w:tc>
        <w:tcPr>
          <w:tcW w:w="4920" w:type="dxa"/>
          <w:shd w:val="clear" w:color="auto" w:fill="auto"/>
        </w:tcPr>
        <w:p w14:paraId="3F95FB1A" w14:textId="2CD3BF8D" w:rsidR="00BF6D2E" w:rsidRPr="00BF6D2E" w:rsidRDefault="00BF6D2E" w:rsidP="00BF6D2E">
          <w:pPr>
            <w:pStyle w:val="Piedepgina"/>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01D72">
            <w:rPr>
              <w:b w:val="0"/>
              <w:w w:val="103"/>
              <w:sz w:val="14"/>
            </w:rPr>
            <w:t>21-06979</w:t>
          </w:r>
          <w:r>
            <w:rPr>
              <w:b w:val="0"/>
              <w:w w:val="103"/>
              <w:sz w:val="14"/>
            </w:rPr>
            <w:fldChar w:fldCharType="end"/>
          </w:r>
        </w:p>
      </w:tc>
    </w:tr>
  </w:tbl>
  <w:p w14:paraId="56875B73" w14:textId="77777777" w:rsidR="00BF6D2E" w:rsidRPr="00BF6D2E" w:rsidRDefault="00BF6D2E" w:rsidP="00BF6D2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15C8" w14:textId="77777777" w:rsidR="00BF6D2E" w:rsidRDefault="00BF6D2E">
    <w:pPr>
      <w:pStyle w:val="Piedepgina"/>
    </w:pPr>
    <w:r>
      <w:rPr>
        <w:noProof/>
      </w:rPr>
      <w:drawing>
        <wp:anchor distT="0" distB="0" distL="114300" distR="114300" simplePos="0" relativeHeight="251658240" behindDoc="0" locked="0" layoutInCell="1" allowOverlap="1" wp14:anchorId="2773D9F4" wp14:editId="227D3DE9">
          <wp:simplePos x="0" y="0"/>
          <wp:positionH relativeFrom="column">
            <wp:posOffset>5532120</wp:posOffset>
          </wp:positionH>
          <wp:positionV relativeFrom="paragraph">
            <wp:posOffset>-228600</wp:posOffset>
          </wp:positionV>
          <wp:extent cx="694690" cy="694690"/>
          <wp:effectExtent l="0" t="0" r="0" b="0"/>
          <wp:wrapNone/>
          <wp:docPr id="3" name="Picture 3" descr="https://undocs.org/m2/QRCode2.ashx?DS=A/75/81/Add.1&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A/75/81/Add.1&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3758"/>
      <w:gridCol w:w="4920"/>
    </w:tblGrid>
    <w:tr w:rsidR="00BF6D2E" w14:paraId="09F79E60" w14:textId="77777777" w:rsidTr="00BF6D2E">
      <w:tc>
        <w:tcPr>
          <w:tcW w:w="3758" w:type="dxa"/>
        </w:tcPr>
        <w:p w14:paraId="22A76B1B" w14:textId="099415FD" w:rsidR="00BF6D2E" w:rsidRDefault="00BF6D2E" w:rsidP="00BF6D2E">
          <w:pPr>
            <w:pStyle w:val="Piedepgina"/>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A01D72">
            <w:rPr>
              <w:b w:val="0"/>
              <w:sz w:val="20"/>
            </w:rPr>
            <w:t>21-06979 (F)</w:t>
          </w:r>
          <w:r>
            <w:rPr>
              <w:b w:val="0"/>
              <w:sz w:val="20"/>
            </w:rPr>
            <w:fldChar w:fldCharType="end"/>
          </w:r>
          <w:r>
            <w:rPr>
              <w:b w:val="0"/>
              <w:sz w:val="20"/>
            </w:rPr>
            <w:t xml:space="preserve">    0</w:t>
          </w:r>
          <w:r w:rsidR="00EB18C4">
            <w:rPr>
              <w:b w:val="0"/>
              <w:sz w:val="20"/>
            </w:rPr>
            <w:t>7</w:t>
          </w:r>
          <w:r>
            <w:rPr>
              <w:b w:val="0"/>
              <w:sz w:val="20"/>
            </w:rPr>
            <w:t xml:space="preserve">0621    </w:t>
          </w:r>
          <w:r w:rsidR="00EB18C4">
            <w:rPr>
              <w:b w:val="0"/>
              <w:sz w:val="20"/>
            </w:rPr>
            <w:t>15</w:t>
          </w:r>
          <w:r>
            <w:rPr>
              <w:b w:val="0"/>
              <w:sz w:val="20"/>
            </w:rPr>
            <w:t>0621</w:t>
          </w:r>
        </w:p>
        <w:p w14:paraId="0BC4AF4C" w14:textId="022DBDAD" w:rsidR="00BF6D2E" w:rsidRPr="00BF6D2E" w:rsidRDefault="00BF6D2E" w:rsidP="00BF6D2E">
          <w:pPr>
            <w:pStyle w:val="Piedepgina"/>
            <w:spacing w:before="120" w:line="200" w:lineRule="exact"/>
            <w:rPr>
              <w:rFonts w:ascii="Barcode 3 of 9 by request" w:hAnsi="Barcode 3 of 9 by request"/>
              <w:b w:val="0"/>
              <w:spacing w:val="0"/>
              <w:w w:val="100"/>
              <w:sz w:val="24"/>
            </w:rPr>
          </w:pPr>
          <w:r>
            <w:rPr>
              <w:rFonts w:ascii="Barcode 3 of 9 by request" w:hAnsi="Barcode 3 of 9 by request"/>
              <w:spacing w:val="0"/>
              <w:w w:val="100"/>
              <w:sz w:val="24"/>
            </w:rPr>
            <w:fldChar w:fldCharType="begin"/>
          </w:r>
          <w:r>
            <w:rPr>
              <w:rFonts w:ascii="Barcode 3 of 9 by request" w:hAnsi="Barcode 3 of 9 by request"/>
              <w:spacing w:val="0"/>
              <w:w w:val="100"/>
              <w:sz w:val="24"/>
            </w:rPr>
            <w:instrText xml:space="preserve"> DOCVARIABLE "Barcode" \* MERGEFORMAT </w:instrText>
          </w:r>
          <w:r>
            <w:rPr>
              <w:rFonts w:ascii="Barcode 3 of 9 by request" w:hAnsi="Barcode 3 of 9 by request"/>
              <w:spacing w:val="0"/>
              <w:w w:val="100"/>
              <w:sz w:val="24"/>
            </w:rPr>
            <w:fldChar w:fldCharType="separate"/>
          </w:r>
          <w:r w:rsidR="00A01D72">
            <w:rPr>
              <w:rFonts w:ascii="Barcode 3 of 9 by request" w:hAnsi="Barcode 3 of 9 by request"/>
              <w:spacing w:val="0"/>
              <w:w w:val="100"/>
              <w:sz w:val="24"/>
            </w:rPr>
            <w:t>*2106979*</w:t>
          </w:r>
          <w:r>
            <w:rPr>
              <w:rFonts w:ascii="Barcode 3 of 9 by request" w:hAnsi="Barcode 3 of 9 by request"/>
              <w:spacing w:val="0"/>
              <w:w w:val="100"/>
              <w:sz w:val="24"/>
            </w:rPr>
            <w:fldChar w:fldCharType="end"/>
          </w:r>
        </w:p>
      </w:tc>
      <w:tc>
        <w:tcPr>
          <w:tcW w:w="4920" w:type="dxa"/>
        </w:tcPr>
        <w:p w14:paraId="1385AAD6" w14:textId="77777777" w:rsidR="00BF6D2E" w:rsidRDefault="00BF6D2E" w:rsidP="00BF6D2E">
          <w:pPr>
            <w:pStyle w:val="Piedepgina"/>
            <w:spacing w:line="240" w:lineRule="atLeast"/>
            <w:jc w:val="right"/>
            <w:rPr>
              <w:b w:val="0"/>
              <w:sz w:val="20"/>
            </w:rPr>
          </w:pPr>
          <w:r>
            <w:rPr>
              <w:b w:val="0"/>
              <w:noProof/>
              <w:sz w:val="20"/>
            </w:rPr>
            <w:drawing>
              <wp:inline distT="0" distB="0" distL="0" distR="0" wp14:anchorId="39BCC612" wp14:editId="1A0783BF">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stretch>
                          <a:fillRect/>
                        </a:stretch>
                      </pic:blipFill>
                      <pic:spPr>
                        <a:xfrm>
                          <a:off x="0" y="0"/>
                          <a:ext cx="1109474" cy="231648"/>
                        </a:xfrm>
                        <a:prstGeom prst="rect">
                          <a:avLst/>
                        </a:prstGeom>
                      </pic:spPr>
                    </pic:pic>
                  </a:graphicData>
                </a:graphic>
              </wp:inline>
            </w:drawing>
          </w:r>
        </w:p>
      </w:tc>
    </w:tr>
  </w:tbl>
  <w:p w14:paraId="7B83790D" w14:textId="77777777" w:rsidR="00BF6D2E" w:rsidRPr="00BF6D2E" w:rsidRDefault="00BF6D2E" w:rsidP="00BF6D2E">
    <w:pPr>
      <w:pStyle w:val="Piedepgina"/>
      <w:spacing w:line="56" w:lineRule="exact"/>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DFC5D" w14:textId="77777777" w:rsidR="00EE1A45" w:rsidRDefault="00EE1A45" w:rsidP="00101B18">
      <w:pPr>
        <w:spacing w:line="240" w:lineRule="auto"/>
      </w:pPr>
      <w:r>
        <w:separator/>
      </w:r>
    </w:p>
  </w:footnote>
  <w:footnote w:type="continuationSeparator" w:id="0">
    <w:p w14:paraId="4B8BC2B1" w14:textId="77777777" w:rsidR="00EE1A45" w:rsidRDefault="00EE1A45" w:rsidP="00101B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920"/>
      <w:gridCol w:w="4920"/>
    </w:tblGrid>
    <w:tr w:rsidR="00BF6D2E" w14:paraId="74CAE6E5" w14:textId="77777777" w:rsidTr="00BF6D2E">
      <w:trPr>
        <w:trHeight w:hRule="exact" w:val="864"/>
      </w:trPr>
      <w:tc>
        <w:tcPr>
          <w:tcW w:w="4920" w:type="dxa"/>
          <w:shd w:val="clear" w:color="auto" w:fill="auto"/>
          <w:vAlign w:val="bottom"/>
        </w:tcPr>
        <w:p w14:paraId="1EB49B02" w14:textId="239CD8CF" w:rsidR="00BF6D2E" w:rsidRPr="00BF6D2E" w:rsidRDefault="00BF6D2E" w:rsidP="00BF6D2E">
          <w:pPr>
            <w:pStyle w:val="Encabezado"/>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A01D72">
            <w:rPr>
              <w:b/>
              <w:color w:val="000000"/>
            </w:rPr>
            <w:t>A/75/81/Add.1</w:t>
          </w:r>
          <w:r>
            <w:rPr>
              <w:b/>
              <w:color w:val="000000"/>
            </w:rPr>
            <w:fldChar w:fldCharType="end"/>
          </w:r>
        </w:p>
      </w:tc>
      <w:tc>
        <w:tcPr>
          <w:tcW w:w="4920" w:type="dxa"/>
          <w:shd w:val="clear" w:color="auto" w:fill="auto"/>
          <w:vAlign w:val="bottom"/>
        </w:tcPr>
        <w:p w14:paraId="11AB543A" w14:textId="77777777" w:rsidR="00BF6D2E" w:rsidRDefault="00BF6D2E" w:rsidP="00BF6D2E">
          <w:pPr>
            <w:pStyle w:val="Encabezado"/>
          </w:pPr>
        </w:p>
      </w:tc>
    </w:tr>
  </w:tbl>
  <w:p w14:paraId="2708D761" w14:textId="77777777" w:rsidR="00BF6D2E" w:rsidRPr="00BF6D2E" w:rsidRDefault="00BF6D2E" w:rsidP="00BF6D2E">
    <w:pPr>
      <w:pStyle w:val="Encabezad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920"/>
      <w:gridCol w:w="4920"/>
    </w:tblGrid>
    <w:tr w:rsidR="00BF6D2E" w14:paraId="625A4EAC" w14:textId="77777777" w:rsidTr="00BF6D2E">
      <w:trPr>
        <w:trHeight w:hRule="exact" w:val="864"/>
      </w:trPr>
      <w:tc>
        <w:tcPr>
          <w:tcW w:w="4920" w:type="dxa"/>
          <w:shd w:val="clear" w:color="auto" w:fill="auto"/>
          <w:vAlign w:val="bottom"/>
        </w:tcPr>
        <w:p w14:paraId="16A641E0" w14:textId="77777777" w:rsidR="00BF6D2E" w:rsidRDefault="00BF6D2E" w:rsidP="00BF6D2E">
          <w:pPr>
            <w:pStyle w:val="Encabezado"/>
          </w:pPr>
        </w:p>
      </w:tc>
      <w:tc>
        <w:tcPr>
          <w:tcW w:w="4920" w:type="dxa"/>
          <w:shd w:val="clear" w:color="auto" w:fill="auto"/>
          <w:vAlign w:val="bottom"/>
        </w:tcPr>
        <w:p w14:paraId="0339FAE1" w14:textId="61A2A6C2" w:rsidR="00BF6D2E" w:rsidRPr="00BF6D2E" w:rsidRDefault="00BF6D2E" w:rsidP="00BF6D2E">
          <w:pPr>
            <w:pStyle w:val="Encabezado"/>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A01D72">
            <w:rPr>
              <w:b/>
              <w:color w:val="000000"/>
            </w:rPr>
            <w:t>A/75/81/Add.1</w:t>
          </w:r>
          <w:r>
            <w:rPr>
              <w:b/>
              <w:color w:val="000000"/>
            </w:rPr>
            <w:fldChar w:fldCharType="end"/>
          </w:r>
        </w:p>
      </w:tc>
    </w:tr>
  </w:tbl>
  <w:p w14:paraId="3D88FA86" w14:textId="77777777" w:rsidR="00BF6D2E" w:rsidRPr="00BF6D2E" w:rsidRDefault="00BF6D2E" w:rsidP="00BF6D2E">
    <w:pPr>
      <w:pStyle w:val="Encabezad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0"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11"/>
    </w:tblGrid>
    <w:tr w:rsidR="00BF6D2E" w14:paraId="437B1115" w14:textId="77777777" w:rsidTr="00BF6D2E">
      <w:trPr>
        <w:trHeight w:hRule="exact" w:val="864"/>
      </w:trPr>
      <w:tc>
        <w:tcPr>
          <w:tcW w:w="1267" w:type="dxa"/>
          <w:tcBorders>
            <w:bottom w:val="single" w:sz="4" w:space="0" w:color="auto"/>
          </w:tcBorders>
          <w:shd w:val="clear" w:color="auto" w:fill="auto"/>
          <w:vAlign w:val="bottom"/>
        </w:tcPr>
        <w:p w14:paraId="32CA6EDC" w14:textId="77777777" w:rsidR="00BF6D2E" w:rsidRDefault="00BF6D2E" w:rsidP="00BF6D2E">
          <w:pPr>
            <w:pStyle w:val="Encabezado"/>
            <w:spacing w:after="120"/>
          </w:pPr>
        </w:p>
      </w:tc>
      <w:tc>
        <w:tcPr>
          <w:tcW w:w="2059" w:type="dxa"/>
          <w:tcBorders>
            <w:bottom w:val="single" w:sz="4" w:space="0" w:color="auto"/>
          </w:tcBorders>
          <w:shd w:val="clear" w:color="auto" w:fill="auto"/>
          <w:vAlign w:val="bottom"/>
        </w:tcPr>
        <w:p w14:paraId="1B0BC451" w14:textId="77777777" w:rsidR="00BF6D2E" w:rsidRPr="00BF6D2E" w:rsidRDefault="00BF6D2E" w:rsidP="00BF6D2E">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14:paraId="2D771B76" w14:textId="77777777" w:rsidR="00BF6D2E" w:rsidRDefault="00BF6D2E" w:rsidP="00BF6D2E">
          <w:pPr>
            <w:pStyle w:val="Encabezado"/>
            <w:spacing w:after="120"/>
          </w:pPr>
        </w:p>
      </w:tc>
      <w:tc>
        <w:tcPr>
          <w:tcW w:w="6466" w:type="dxa"/>
          <w:gridSpan w:val="3"/>
          <w:tcBorders>
            <w:bottom w:val="single" w:sz="4" w:space="0" w:color="auto"/>
          </w:tcBorders>
          <w:shd w:val="clear" w:color="auto" w:fill="auto"/>
          <w:vAlign w:val="bottom"/>
        </w:tcPr>
        <w:p w14:paraId="4D655502" w14:textId="77777777" w:rsidR="00BF6D2E" w:rsidRPr="00BF6D2E" w:rsidRDefault="00BF6D2E" w:rsidP="00BF6D2E">
          <w:pPr>
            <w:spacing w:after="80" w:line="240" w:lineRule="auto"/>
            <w:jc w:val="right"/>
            <w:rPr>
              <w:position w:val="-4"/>
            </w:rPr>
          </w:pPr>
          <w:r>
            <w:rPr>
              <w:position w:val="-4"/>
              <w:sz w:val="40"/>
            </w:rPr>
            <w:t>A</w:t>
          </w:r>
          <w:r>
            <w:rPr>
              <w:position w:val="-4"/>
            </w:rPr>
            <w:t>/75/81/Add.1</w:t>
          </w:r>
        </w:p>
      </w:tc>
    </w:tr>
    <w:tr w:rsidR="00BF6D2E" w:rsidRPr="00BF6D2E" w14:paraId="79E47F58" w14:textId="77777777" w:rsidTr="00BF6D2E">
      <w:trPr>
        <w:trHeight w:hRule="exact" w:val="2880"/>
      </w:trPr>
      <w:tc>
        <w:tcPr>
          <w:tcW w:w="1267" w:type="dxa"/>
          <w:tcBorders>
            <w:top w:val="single" w:sz="4" w:space="0" w:color="auto"/>
            <w:bottom w:val="single" w:sz="12" w:space="0" w:color="auto"/>
          </w:tcBorders>
          <w:shd w:val="clear" w:color="auto" w:fill="auto"/>
        </w:tcPr>
        <w:p w14:paraId="634B26EC" w14:textId="77777777" w:rsidR="00BF6D2E" w:rsidRPr="00BF6D2E" w:rsidRDefault="00BF6D2E" w:rsidP="00BF6D2E">
          <w:pPr>
            <w:pStyle w:val="Encabezado"/>
            <w:spacing w:before="120" w:line="240" w:lineRule="auto"/>
            <w:ind w:left="-72"/>
            <w:jc w:val="center"/>
          </w:pPr>
          <w:r>
            <w:t xml:space="preserve">  </w:t>
          </w:r>
          <w:r>
            <w:rPr>
              <w:noProof/>
            </w:rPr>
            <w:drawing>
              <wp:inline distT="0" distB="0" distL="0" distR="0" wp14:anchorId="137DEA58" wp14:editId="6093F6E7">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552112D6" w14:textId="77777777" w:rsidR="00BF6D2E" w:rsidRPr="00BF6D2E" w:rsidRDefault="00BF6D2E" w:rsidP="00BF6D2E">
          <w:pPr>
            <w:pStyle w:val="XLarge"/>
            <w:spacing w:before="109"/>
          </w:pPr>
          <w:r>
            <w:t>Assemblée générale</w:t>
          </w:r>
        </w:p>
      </w:tc>
      <w:tc>
        <w:tcPr>
          <w:tcW w:w="245" w:type="dxa"/>
          <w:tcBorders>
            <w:top w:val="single" w:sz="4" w:space="0" w:color="auto"/>
            <w:bottom w:val="single" w:sz="12" w:space="0" w:color="auto"/>
          </w:tcBorders>
          <w:shd w:val="clear" w:color="auto" w:fill="auto"/>
        </w:tcPr>
        <w:p w14:paraId="70DC732E" w14:textId="77777777" w:rsidR="00BF6D2E" w:rsidRPr="00BF6D2E" w:rsidRDefault="00BF6D2E" w:rsidP="00BF6D2E">
          <w:pPr>
            <w:pStyle w:val="Encabezado"/>
            <w:spacing w:before="109"/>
          </w:pPr>
        </w:p>
      </w:tc>
      <w:tc>
        <w:tcPr>
          <w:tcW w:w="3110" w:type="dxa"/>
          <w:tcBorders>
            <w:top w:val="single" w:sz="4" w:space="0" w:color="auto"/>
            <w:bottom w:val="single" w:sz="12" w:space="0" w:color="auto"/>
          </w:tcBorders>
          <w:shd w:val="clear" w:color="auto" w:fill="auto"/>
        </w:tcPr>
        <w:p w14:paraId="543BAAF0" w14:textId="77777777" w:rsidR="00BF6D2E" w:rsidRPr="00D51D03" w:rsidRDefault="00BF6D2E" w:rsidP="00BF6D2E">
          <w:pPr>
            <w:pStyle w:val="Distribution"/>
            <w:rPr>
              <w:color w:val="000000"/>
              <w:lang w:val="fr-FR"/>
            </w:rPr>
          </w:pPr>
          <w:proofErr w:type="spellStart"/>
          <w:r w:rsidRPr="00D51D03">
            <w:rPr>
              <w:color w:val="000000"/>
              <w:lang w:val="fr-FR"/>
            </w:rPr>
            <w:t>Distr</w:t>
          </w:r>
          <w:proofErr w:type="spellEnd"/>
          <w:r w:rsidRPr="00D51D03">
            <w:rPr>
              <w:color w:val="000000"/>
              <w:lang w:val="fr-FR"/>
            </w:rPr>
            <w:t xml:space="preserve">. </w:t>
          </w:r>
          <w:proofErr w:type="gramStart"/>
          <w:r w:rsidRPr="00D51D03">
            <w:rPr>
              <w:color w:val="000000"/>
              <w:lang w:val="fr-FR"/>
            </w:rPr>
            <w:t>générale</w:t>
          </w:r>
          <w:proofErr w:type="gramEnd"/>
        </w:p>
        <w:p w14:paraId="1019A384" w14:textId="77777777" w:rsidR="00BF6D2E" w:rsidRPr="00D51D03" w:rsidRDefault="00BF6D2E" w:rsidP="00BF6D2E">
          <w:pPr>
            <w:pStyle w:val="Publication"/>
            <w:rPr>
              <w:color w:val="000000"/>
              <w:lang w:val="fr-FR"/>
            </w:rPr>
          </w:pPr>
          <w:r w:rsidRPr="00D51D03">
            <w:rPr>
              <w:color w:val="000000"/>
              <w:lang w:val="fr-FR"/>
            </w:rPr>
            <w:t>27 mai 2021</w:t>
          </w:r>
        </w:p>
        <w:p w14:paraId="42A2A8C3" w14:textId="77777777" w:rsidR="00BF6D2E" w:rsidRPr="00D51D03" w:rsidRDefault="00BF6D2E" w:rsidP="00BF6D2E">
          <w:pPr>
            <w:rPr>
              <w:lang w:val="fr-FR"/>
            </w:rPr>
          </w:pPr>
          <w:r w:rsidRPr="00D51D03">
            <w:rPr>
              <w:lang w:val="fr-FR"/>
            </w:rPr>
            <w:t>Français</w:t>
          </w:r>
        </w:p>
        <w:p w14:paraId="75312850" w14:textId="06A26D87" w:rsidR="00BF6D2E" w:rsidRPr="00D51D03" w:rsidRDefault="00BF6D2E" w:rsidP="00BF6D2E">
          <w:pPr>
            <w:pStyle w:val="Original"/>
            <w:rPr>
              <w:color w:val="000000"/>
              <w:lang w:val="fr-FR"/>
            </w:rPr>
          </w:pPr>
          <w:r w:rsidRPr="00D51D03">
            <w:rPr>
              <w:color w:val="000000"/>
              <w:lang w:val="fr-FR"/>
            </w:rPr>
            <w:t xml:space="preserve">Original : </w:t>
          </w:r>
          <w:r w:rsidR="00D51D03">
            <w:rPr>
              <w:color w:val="000000"/>
              <w:lang w:val="fr-FR"/>
            </w:rPr>
            <w:t>espagnol</w:t>
          </w:r>
        </w:p>
      </w:tc>
    </w:tr>
  </w:tbl>
  <w:p w14:paraId="4DF63D97" w14:textId="77777777" w:rsidR="00BF6D2E" w:rsidRPr="00D51D03" w:rsidRDefault="00BF6D2E" w:rsidP="00BF6D2E">
    <w:pPr>
      <w:pStyle w:val="Encabezado"/>
      <w:spacing w:line="240" w:lineRule="auto"/>
      <w:rPr>
        <w:sz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290"/>
    <w:multiLevelType w:val="hybridMultilevel"/>
    <w:tmpl w:val="8A8469E0"/>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15:restartNumberingAfterBreak="0">
    <w:nsid w:val="12D06B23"/>
    <w:multiLevelType w:val="multilevel"/>
    <w:tmpl w:val="F78C5AAA"/>
    <w:lvl w:ilvl="0">
      <w:start w:val="1"/>
      <w:numFmt w:val="decimal"/>
      <w:pStyle w:val="Ttulo1"/>
      <w:suff w:val="space"/>
      <w:lvlText w:val="Chapter %1"/>
      <w:lvlJc w:val="left"/>
      <w:pPr>
        <w:ind w:left="0" w:firstLine="0"/>
      </w:pPr>
      <w:rPr>
        <w:rFonts w:ascii="Times New Roman" w:hAnsi="Times New Roman" w:hint="default"/>
        <w:color w:val="auto"/>
        <w:sz w:val="20"/>
      </w:rPr>
    </w:lvl>
    <w:lvl w:ilvl="1">
      <w:start w:val="1"/>
      <w:numFmt w:val="none"/>
      <w:pStyle w:val="Ttulo2"/>
      <w:suff w:val="nothing"/>
      <w:lvlText w:val=""/>
      <w:lvlJc w:val="left"/>
      <w:pPr>
        <w:ind w:left="0" w:firstLine="0"/>
      </w:pPr>
      <w:rPr>
        <w:rFonts w:hint="default"/>
      </w:rPr>
    </w:lvl>
    <w:lvl w:ilvl="2">
      <w:start w:val="1"/>
      <w:numFmt w:val="none"/>
      <w:pStyle w:val="Ttulo3"/>
      <w:suff w:val="nothing"/>
      <w:lvlText w:val=""/>
      <w:lvlJc w:val="left"/>
      <w:pPr>
        <w:ind w:left="0" w:firstLine="0"/>
      </w:pPr>
      <w:rPr>
        <w:rFonts w:hint="default"/>
      </w:rPr>
    </w:lvl>
    <w:lvl w:ilvl="3">
      <w:start w:val="1"/>
      <w:numFmt w:val="none"/>
      <w:pStyle w:val="Ttulo4"/>
      <w:suff w:val="nothing"/>
      <w:lvlText w:val=""/>
      <w:lvlJc w:val="left"/>
      <w:pPr>
        <w:ind w:left="0" w:firstLine="0"/>
      </w:pPr>
      <w:rPr>
        <w:rFonts w:hint="default"/>
      </w:rPr>
    </w:lvl>
    <w:lvl w:ilvl="4">
      <w:start w:val="1"/>
      <w:numFmt w:val="none"/>
      <w:pStyle w:val="Ttulo5"/>
      <w:suff w:val="nothing"/>
      <w:lvlText w:val=""/>
      <w:lvlJc w:val="left"/>
      <w:pPr>
        <w:ind w:left="0" w:firstLine="0"/>
      </w:pPr>
      <w:rPr>
        <w:rFonts w:hint="default"/>
      </w:rPr>
    </w:lvl>
    <w:lvl w:ilvl="5">
      <w:start w:val="1"/>
      <w:numFmt w:val="none"/>
      <w:pStyle w:val="Ttulo6"/>
      <w:suff w:val="nothing"/>
      <w:lvlText w:val=""/>
      <w:lvlJc w:val="left"/>
      <w:pPr>
        <w:ind w:left="0" w:firstLine="0"/>
      </w:pPr>
      <w:rPr>
        <w:rFonts w:hint="default"/>
      </w:rPr>
    </w:lvl>
    <w:lvl w:ilvl="6">
      <w:start w:val="1"/>
      <w:numFmt w:val="none"/>
      <w:pStyle w:val="Ttulo7"/>
      <w:suff w:val="nothing"/>
      <w:lvlText w:val=""/>
      <w:lvlJc w:val="left"/>
      <w:pPr>
        <w:ind w:left="0" w:firstLine="0"/>
      </w:pPr>
      <w:rPr>
        <w:rFonts w:hint="default"/>
      </w:rPr>
    </w:lvl>
    <w:lvl w:ilvl="7">
      <w:start w:val="1"/>
      <w:numFmt w:val="none"/>
      <w:pStyle w:val="Ttulo8"/>
      <w:suff w:val="nothing"/>
      <w:lvlText w:val=""/>
      <w:lvlJc w:val="left"/>
      <w:pPr>
        <w:ind w:left="0" w:firstLine="0"/>
      </w:pPr>
      <w:rPr>
        <w:rFonts w:hint="default"/>
      </w:rPr>
    </w:lvl>
    <w:lvl w:ilvl="8">
      <w:start w:val="1"/>
      <w:numFmt w:val="none"/>
      <w:pStyle w:val="Ttulo9"/>
      <w:suff w:val="nothing"/>
      <w:lvlText w:val=""/>
      <w:lvlJc w:val="left"/>
      <w:pPr>
        <w:ind w:left="0" w:firstLine="0"/>
      </w:pPr>
      <w:rPr>
        <w:rFonts w:hint="default"/>
      </w:rPr>
    </w:lvl>
  </w:abstractNum>
  <w:abstractNum w:abstractNumId="2" w15:restartNumberingAfterBreak="0">
    <w:nsid w:val="172F270D"/>
    <w:multiLevelType w:val="hybridMultilevel"/>
    <w:tmpl w:val="47A2628E"/>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40547"/>
    <w:multiLevelType w:val="hybridMultilevel"/>
    <w:tmpl w:val="413C2A34"/>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9633C1"/>
    <w:multiLevelType w:val="multilevel"/>
    <w:tmpl w:val="13F4E0DA"/>
    <w:name w:val="TOC"/>
    <w:lvl w:ilvl="0">
      <w:start w:val="2"/>
      <w:numFmt w:val="upperRoman"/>
      <w:lvlText w:val="%1."/>
      <w:lvlJc w:val="right"/>
      <w:pPr>
        <w:tabs>
          <w:tab w:val="num" w:pos="1296"/>
        </w:tabs>
        <w:ind w:left="1296" w:hanging="216"/>
      </w:pPr>
      <w:rPr>
        <w:rFonts w:hint="default"/>
      </w:rPr>
    </w:lvl>
    <w:lvl w:ilvl="1">
      <w:start w:val="1"/>
      <w:numFmt w:val="upperLetter"/>
      <w:lvlText w:val="%2."/>
      <w:lvlJc w:val="left"/>
      <w:pPr>
        <w:tabs>
          <w:tab w:val="num" w:pos="1728"/>
        </w:tabs>
        <w:ind w:left="1728" w:hanging="432"/>
      </w:pPr>
      <w:rPr>
        <w:rFonts w:hint="default"/>
      </w:rPr>
    </w:lvl>
    <w:lvl w:ilvl="2">
      <w:start w:val="1"/>
      <w:numFmt w:val="decimal"/>
      <w:lvlText w:val="%3."/>
      <w:lvlJc w:val="left"/>
      <w:pPr>
        <w:tabs>
          <w:tab w:val="num" w:pos="2160"/>
        </w:tabs>
        <w:ind w:left="2160"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Roman"/>
      <w:lvlText w:val="%5)"/>
      <w:lvlJc w:val="left"/>
      <w:pPr>
        <w:tabs>
          <w:tab w:val="num" w:pos="3024"/>
        </w:tabs>
        <w:ind w:left="3024" w:hanging="432"/>
      </w:pPr>
      <w:rPr>
        <w:rFonts w:hint="default"/>
      </w:rPr>
    </w:lvl>
    <w:lvl w:ilvl="5">
      <w:start w:val="1"/>
      <w:numFmt w:val="lowerLetter"/>
      <w:lvlText w:val="%6."/>
      <w:lvlJc w:val="left"/>
      <w:pPr>
        <w:tabs>
          <w:tab w:val="num" w:pos="3456"/>
        </w:tabs>
        <w:ind w:left="3456" w:hanging="432"/>
      </w:pPr>
      <w:rPr>
        <w:rFonts w:hint="default"/>
      </w:rPr>
    </w:lvl>
    <w:lvl w:ilvl="6">
      <w:start w:val="1"/>
      <w:numFmt w:val="lowerRoman"/>
      <w:lvlText w:val="%7."/>
      <w:lvlJc w:val="left"/>
      <w:pPr>
        <w:tabs>
          <w:tab w:val="num" w:pos="3888"/>
        </w:tabs>
        <w:ind w:left="3888" w:hanging="432"/>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2"/>
  </w:num>
  <w:num w:numId="2">
    <w:abstractNumId w:val="3"/>
  </w:num>
  <w:num w:numId="3">
    <w:abstractNumId w:val="0"/>
  </w:num>
  <w:num w:numId="4">
    <w:abstractNumId w:val="1"/>
  </w:num>
  <w:num w:numId="5">
    <w:abstractNumId w:val="2"/>
  </w:num>
  <w:num w:numId="6">
    <w:abstractNumId w:val="3"/>
  </w:num>
  <w:num w:numId="7">
    <w:abstractNumId w:val="0"/>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3"/>
  </w:num>
  <w:num w:numId="19">
    <w:abstractNumId w:val="0"/>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77"/>
  <w:embedSystemFonts/>
  <w:hideSpellingErrors/>
  <w:proofState w:spelling="clean" w:grammar="clean"/>
  <w:defaultTabStop w:val="475"/>
  <w:hyphenationZone w:val="425"/>
  <w:doNotHyphenateCaps/>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106979*"/>
    <w:docVar w:name="CreationDt" w:val="08/06/2021 10:28:17"/>
    <w:docVar w:name="DocCategory" w:val="Doc"/>
    <w:docVar w:name="DocType" w:val="Final"/>
    <w:docVar w:name="DutyStation" w:val="New York"/>
    <w:docVar w:name="FooterJN" w:val="21-06979"/>
    <w:docVar w:name="jobn" w:val="21-06979 (F)"/>
    <w:docVar w:name="jobnDT" w:val="21-06979 (F)   080621"/>
    <w:docVar w:name="jobnDTDT" w:val="21-06979 (F)   080621   080621"/>
    <w:docVar w:name="JobNo" w:val="2106979F"/>
    <w:docVar w:name="JobNo2" w:val="2113441F"/>
    <w:docVar w:name="LocalDrive" w:val="-1"/>
    <w:docVar w:name="OandT" w:val="jnd"/>
    <w:docVar w:name="sss1" w:val="A/75/81/Add.1"/>
    <w:docVar w:name="sss2" w:val="-"/>
    <w:docVar w:name="Symbol1" w:val="A/75/81/Add.1"/>
    <w:docVar w:name="Symbol2" w:val="-"/>
  </w:docVars>
  <w:rsids>
    <w:rsidRoot w:val="00272149"/>
    <w:rsid w:val="00002584"/>
    <w:rsid w:val="0006491F"/>
    <w:rsid w:val="00071D43"/>
    <w:rsid w:val="00082144"/>
    <w:rsid w:val="00085185"/>
    <w:rsid w:val="00101B18"/>
    <w:rsid w:val="00122A56"/>
    <w:rsid w:val="00134FEE"/>
    <w:rsid w:val="00146C6A"/>
    <w:rsid w:val="00166A0D"/>
    <w:rsid w:val="001C159C"/>
    <w:rsid w:val="001E2379"/>
    <w:rsid w:val="001E4B50"/>
    <w:rsid w:val="001F4836"/>
    <w:rsid w:val="00245107"/>
    <w:rsid w:val="00245FDC"/>
    <w:rsid w:val="002478A0"/>
    <w:rsid w:val="00272149"/>
    <w:rsid w:val="00290931"/>
    <w:rsid w:val="002A5E20"/>
    <w:rsid w:val="0030272E"/>
    <w:rsid w:val="0030765E"/>
    <w:rsid w:val="00366D21"/>
    <w:rsid w:val="003905FA"/>
    <w:rsid w:val="003A675A"/>
    <w:rsid w:val="003F61E1"/>
    <w:rsid w:val="00410BE8"/>
    <w:rsid w:val="00440C93"/>
    <w:rsid w:val="00472B7F"/>
    <w:rsid w:val="00480B84"/>
    <w:rsid w:val="004B64F9"/>
    <w:rsid w:val="004C1A25"/>
    <w:rsid w:val="00515991"/>
    <w:rsid w:val="005225EC"/>
    <w:rsid w:val="00525097"/>
    <w:rsid w:val="005509B6"/>
    <w:rsid w:val="00571235"/>
    <w:rsid w:val="00576145"/>
    <w:rsid w:val="00577A36"/>
    <w:rsid w:val="00580CF2"/>
    <w:rsid w:val="005B398E"/>
    <w:rsid w:val="005C03A7"/>
    <w:rsid w:val="005C5330"/>
    <w:rsid w:val="005F1F5F"/>
    <w:rsid w:val="00632C10"/>
    <w:rsid w:val="00690698"/>
    <w:rsid w:val="006A72AB"/>
    <w:rsid w:val="006E4A4B"/>
    <w:rsid w:val="006E5107"/>
    <w:rsid w:val="00703106"/>
    <w:rsid w:val="007459AE"/>
    <w:rsid w:val="007531A5"/>
    <w:rsid w:val="00771C9E"/>
    <w:rsid w:val="007E1619"/>
    <w:rsid w:val="0082045E"/>
    <w:rsid w:val="008222A3"/>
    <w:rsid w:val="00883D3C"/>
    <w:rsid w:val="00886CF2"/>
    <w:rsid w:val="008F3462"/>
    <w:rsid w:val="0090104D"/>
    <w:rsid w:val="009237A6"/>
    <w:rsid w:val="00935932"/>
    <w:rsid w:val="009547DC"/>
    <w:rsid w:val="00982F46"/>
    <w:rsid w:val="00993CB7"/>
    <w:rsid w:val="00994877"/>
    <w:rsid w:val="009C3BFE"/>
    <w:rsid w:val="009C5B56"/>
    <w:rsid w:val="009D0EE3"/>
    <w:rsid w:val="009D729F"/>
    <w:rsid w:val="009E3220"/>
    <w:rsid w:val="009F40B9"/>
    <w:rsid w:val="00A01D72"/>
    <w:rsid w:val="00A2494D"/>
    <w:rsid w:val="00A536A1"/>
    <w:rsid w:val="00A84492"/>
    <w:rsid w:val="00AB0B7D"/>
    <w:rsid w:val="00AD5F2F"/>
    <w:rsid w:val="00B37147"/>
    <w:rsid w:val="00B72198"/>
    <w:rsid w:val="00B858D5"/>
    <w:rsid w:val="00BA6609"/>
    <w:rsid w:val="00BF6D2E"/>
    <w:rsid w:val="00BF7BDC"/>
    <w:rsid w:val="00C138C6"/>
    <w:rsid w:val="00C865C7"/>
    <w:rsid w:val="00CB06FB"/>
    <w:rsid w:val="00CB4004"/>
    <w:rsid w:val="00CB63C5"/>
    <w:rsid w:val="00CD5C34"/>
    <w:rsid w:val="00D30EED"/>
    <w:rsid w:val="00D425E3"/>
    <w:rsid w:val="00D51D03"/>
    <w:rsid w:val="00DC7881"/>
    <w:rsid w:val="00DC7C8E"/>
    <w:rsid w:val="00DD6F28"/>
    <w:rsid w:val="00DE1723"/>
    <w:rsid w:val="00E126C3"/>
    <w:rsid w:val="00E343A6"/>
    <w:rsid w:val="00E443AC"/>
    <w:rsid w:val="00E47A1E"/>
    <w:rsid w:val="00E7105F"/>
    <w:rsid w:val="00E7792F"/>
    <w:rsid w:val="00EB18C4"/>
    <w:rsid w:val="00EB58F8"/>
    <w:rsid w:val="00EE1A45"/>
    <w:rsid w:val="00EE37EC"/>
    <w:rsid w:val="00EF2DFA"/>
    <w:rsid w:val="00F313F6"/>
    <w:rsid w:val="00F5012D"/>
    <w:rsid w:val="00F73093"/>
    <w:rsid w:val="00FA3D05"/>
    <w:rsid w:val="00FA5CC9"/>
    <w:rsid w:val="00FA7C7B"/>
    <w:rsid w:val="00FB0A2C"/>
    <w:rsid w:val="00FC5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55FCBF"/>
  <w15:chartTrackingRefBased/>
  <w15:docId w15:val="{C0EFDAE2-6A65-4639-A1C3-CC3B3302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185"/>
    <w:pPr>
      <w:spacing w:after="0" w:line="240" w:lineRule="exact"/>
    </w:pPr>
    <w:rPr>
      <w:rFonts w:ascii="Times New Roman" w:eastAsiaTheme="minorHAnsi" w:hAnsi="Times New Roman" w:cs="Times New Roman"/>
      <w:spacing w:val="4"/>
      <w:w w:val="103"/>
      <w:kern w:val="14"/>
      <w:sz w:val="20"/>
      <w:lang w:val="fr-CA" w:eastAsia="en-US"/>
    </w:rPr>
  </w:style>
  <w:style w:type="paragraph" w:styleId="Ttulo1">
    <w:name w:val="heading 1"/>
    <w:basedOn w:val="Normal"/>
    <w:next w:val="Normal"/>
    <w:link w:val="Ttulo1Car"/>
    <w:uiPriority w:val="9"/>
    <w:qFormat/>
    <w:rsid w:val="00085185"/>
    <w:pPr>
      <w:numPr>
        <w:numId w:val="28"/>
      </w:numPr>
      <w:spacing w:before="240" w:after="60"/>
      <w:outlineLvl w:val="0"/>
    </w:pPr>
    <w:rPr>
      <w:rFonts w:ascii="Arial" w:eastAsia="Times New Roman" w:hAnsi="Arial"/>
      <w:b/>
      <w:bCs/>
      <w:color w:val="365F91"/>
      <w:kern w:val="32"/>
      <w:sz w:val="32"/>
      <w:szCs w:val="28"/>
    </w:rPr>
  </w:style>
  <w:style w:type="paragraph" w:styleId="Ttulo2">
    <w:name w:val="heading 2"/>
    <w:basedOn w:val="Normal"/>
    <w:next w:val="Normal"/>
    <w:link w:val="Ttulo2Car"/>
    <w:uiPriority w:val="9"/>
    <w:unhideWhenUsed/>
    <w:qFormat/>
    <w:rsid w:val="00085185"/>
    <w:pPr>
      <w:numPr>
        <w:ilvl w:val="1"/>
        <w:numId w:val="28"/>
      </w:numPr>
      <w:spacing w:before="240" w:after="60"/>
      <w:outlineLvl w:val="1"/>
    </w:pPr>
    <w:rPr>
      <w:rFonts w:ascii="Arial" w:eastAsia="Times New Roman" w:hAnsi="Arial"/>
      <w:b/>
      <w:bCs/>
      <w:i/>
      <w:color w:val="4F81BD"/>
      <w:sz w:val="28"/>
      <w:szCs w:val="26"/>
    </w:rPr>
  </w:style>
  <w:style w:type="paragraph" w:styleId="Ttulo3">
    <w:name w:val="heading 3"/>
    <w:basedOn w:val="Normal"/>
    <w:next w:val="Normal"/>
    <w:link w:val="Ttulo3Car"/>
    <w:uiPriority w:val="9"/>
    <w:unhideWhenUsed/>
    <w:qFormat/>
    <w:rsid w:val="00085185"/>
    <w:pPr>
      <w:numPr>
        <w:ilvl w:val="2"/>
        <w:numId w:val="28"/>
      </w:numPr>
      <w:spacing w:before="240" w:after="60"/>
      <w:outlineLvl w:val="2"/>
    </w:pPr>
    <w:rPr>
      <w:rFonts w:ascii="Arial" w:eastAsia="Times New Roman" w:hAnsi="Arial"/>
      <w:b/>
      <w:bCs/>
      <w:color w:val="4F81BD"/>
      <w:sz w:val="26"/>
    </w:rPr>
  </w:style>
  <w:style w:type="paragraph" w:styleId="Ttulo4">
    <w:name w:val="heading 4"/>
    <w:basedOn w:val="Normal"/>
    <w:next w:val="Normal"/>
    <w:link w:val="Ttulo4Car"/>
    <w:uiPriority w:val="9"/>
    <w:unhideWhenUsed/>
    <w:rsid w:val="00085185"/>
    <w:pPr>
      <w:keepNext/>
      <w:keepLines/>
      <w:numPr>
        <w:ilvl w:val="3"/>
        <w:numId w:val="28"/>
      </w:numPr>
      <w:spacing w:before="200"/>
      <w:outlineLvl w:val="3"/>
    </w:pPr>
    <w:rPr>
      <w:rFonts w:ascii="Cambria" w:eastAsia="Times New Roman" w:hAnsi="Cambria"/>
      <w:b/>
      <w:bCs/>
      <w:i/>
      <w:iCs/>
      <w:color w:val="4F81BD"/>
    </w:rPr>
  </w:style>
  <w:style w:type="paragraph" w:styleId="Ttulo5">
    <w:name w:val="heading 5"/>
    <w:basedOn w:val="Normal"/>
    <w:next w:val="Normal"/>
    <w:link w:val="Ttulo5Car"/>
    <w:uiPriority w:val="9"/>
    <w:unhideWhenUsed/>
    <w:rsid w:val="00085185"/>
    <w:pPr>
      <w:keepNext/>
      <w:keepLines/>
      <w:numPr>
        <w:ilvl w:val="4"/>
        <w:numId w:val="28"/>
      </w:numPr>
      <w:spacing w:before="200"/>
      <w:outlineLvl w:val="4"/>
    </w:pPr>
    <w:rPr>
      <w:rFonts w:ascii="Cambria" w:eastAsia="Times New Roman" w:hAnsi="Cambria"/>
      <w:color w:val="243F60"/>
    </w:rPr>
  </w:style>
  <w:style w:type="paragraph" w:styleId="Ttulo6">
    <w:name w:val="heading 6"/>
    <w:basedOn w:val="Normal"/>
    <w:next w:val="Normal"/>
    <w:link w:val="Ttulo6Car"/>
    <w:uiPriority w:val="9"/>
    <w:unhideWhenUsed/>
    <w:rsid w:val="00085185"/>
    <w:pPr>
      <w:keepNext/>
      <w:keepLines/>
      <w:numPr>
        <w:ilvl w:val="5"/>
        <w:numId w:val="28"/>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rsid w:val="00085185"/>
    <w:pPr>
      <w:keepNext/>
      <w:keepLines/>
      <w:numPr>
        <w:ilvl w:val="6"/>
        <w:numId w:val="28"/>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085185"/>
    <w:pPr>
      <w:keepNext/>
      <w:keepLines/>
      <w:numPr>
        <w:ilvl w:val="7"/>
        <w:numId w:val="28"/>
      </w:numPr>
      <w:spacing w:before="200"/>
      <w:outlineLvl w:val="7"/>
    </w:pPr>
    <w:rPr>
      <w:rFonts w:ascii="Cambria" w:eastAsia="Times New Roman" w:hAnsi="Cambria"/>
      <w:color w:val="404040"/>
      <w:szCs w:val="20"/>
    </w:rPr>
  </w:style>
  <w:style w:type="paragraph" w:styleId="Ttulo9">
    <w:name w:val="heading 9"/>
    <w:basedOn w:val="Normal"/>
    <w:next w:val="Normal"/>
    <w:link w:val="Ttulo9Car"/>
    <w:uiPriority w:val="9"/>
    <w:semiHidden/>
    <w:unhideWhenUsed/>
    <w:qFormat/>
    <w:rsid w:val="00085185"/>
    <w:pPr>
      <w:keepNext/>
      <w:keepLines/>
      <w:numPr>
        <w:ilvl w:val="8"/>
        <w:numId w:val="28"/>
      </w:numPr>
      <w:spacing w:before="200"/>
      <w:outlineLvl w:val="8"/>
    </w:pPr>
    <w:rPr>
      <w:rFonts w:ascii="Cambria" w:eastAsia="Times New Roman" w:hAnsi="Cambria"/>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1">
    <w:name w:val="_ H_1"/>
    <w:basedOn w:val="Normal"/>
    <w:next w:val="SingleTxt"/>
    <w:qFormat/>
    <w:rsid w:val="00085185"/>
    <w:pPr>
      <w:keepNext/>
      <w:keepLines/>
      <w:suppressAutoHyphens/>
      <w:spacing w:line="270" w:lineRule="exact"/>
      <w:outlineLvl w:val="0"/>
    </w:pPr>
    <w:rPr>
      <w:b/>
      <w:sz w:val="24"/>
    </w:rPr>
  </w:style>
  <w:style w:type="paragraph" w:customStyle="1" w:styleId="HCH">
    <w:name w:val="_ H _CH"/>
    <w:basedOn w:val="H1"/>
    <w:next w:val="Normal"/>
    <w:qFormat/>
    <w:rsid w:val="00085185"/>
    <w:pPr>
      <w:spacing w:line="300" w:lineRule="exact"/>
    </w:pPr>
    <w:rPr>
      <w:spacing w:val="-2"/>
      <w:sz w:val="28"/>
    </w:rPr>
  </w:style>
  <w:style w:type="paragraph" w:customStyle="1" w:styleId="HM">
    <w:name w:val="_ H __M"/>
    <w:basedOn w:val="HCH"/>
    <w:next w:val="Normal"/>
    <w:qFormat/>
    <w:rsid w:val="00085185"/>
    <w:pPr>
      <w:spacing w:line="360" w:lineRule="exact"/>
    </w:pPr>
    <w:rPr>
      <w:spacing w:val="-3"/>
      <w:w w:val="99"/>
      <w:sz w:val="34"/>
    </w:rPr>
  </w:style>
  <w:style w:type="paragraph" w:customStyle="1" w:styleId="H23">
    <w:name w:val="_ H_2/3"/>
    <w:basedOn w:val="H1"/>
    <w:next w:val="Normal"/>
    <w:qFormat/>
    <w:rsid w:val="00085185"/>
    <w:pPr>
      <w:spacing w:line="240" w:lineRule="exact"/>
      <w:outlineLvl w:val="1"/>
    </w:pPr>
    <w:rPr>
      <w:spacing w:val="2"/>
      <w:sz w:val="20"/>
    </w:rPr>
  </w:style>
  <w:style w:type="paragraph" w:customStyle="1" w:styleId="H4">
    <w:name w:val="_ H_4"/>
    <w:basedOn w:val="Normal"/>
    <w:next w:val="Normal"/>
    <w:qFormat/>
    <w:rsid w:val="00085185"/>
    <w:pPr>
      <w:keepNext/>
      <w:keepLines/>
      <w:tabs>
        <w:tab w:val="right" w:pos="360"/>
      </w:tabs>
      <w:suppressAutoHyphens/>
      <w:outlineLvl w:val="3"/>
    </w:pPr>
    <w:rPr>
      <w:i/>
      <w:spacing w:val="3"/>
    </w:rPr>
  </w:style>
  <w:style w:type="paragraph" w:customStyle="1" w:styleId="H56">
    <w:name w:val="_ H_5/6"/>
    <w:basedOn w:val="Normal"/>
    <w:next w:val="Normal"/>
    <w:qFormat/>
    <w:rsid w:val="00085185"/>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085185"/>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085185"/>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085185"/>
    <w:pPr>
      <w:spacing w:line="540" w:lineRule="exact"/>
    </w:pPr>
    <w:rPr>
      <w:spacing w:val="-8"/>
      <w:w w:val="96"/>
      <w:sz w:val="57"/>
    </w:rPr>
  </w:style>
  <w:style w:type="paragraph" w:customStyle="1" w:styleId="SS">
    <w:name w:val="__S_S"/>
    <w:basedOn w:val="HCH"/>
    <w:next w:val="Normal"/>
    <w:qFormat/>
    <w:rsid w:val="00085185"/>
    <w:pPr>
      <w:ind w:left="1267" w:right="1267"/>
    </w:pPr>
  </w:style>
  <w:style w:type="paragraph" w:customStyle="1" w:styleId="SingleTxt">
    <w:name w:val="__Single Txt"/>
    <w:basedOn w:val="Normal"/>
    <w:qFormat/>
    <w:rsid w:val="00085185"/>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style>
  <w:style w:type="paragraph" w:customStyle="1" w:styleId="AgendaItemNormal">
    <w:name w:val="Agenda_Item_Normal"/>
    <w:next w:val="Normal"/>
    <w:autoRedefine/>
    <w:qFormat/>
    <w:rsid w:val="00085185"/>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TitleH1">
    <w:name w:val="Title_H1"/>
    <w:basedOn w:val="Normal"/>
    <w:next w:val="SingleTxt"/>
    <w:qFormat/>
    <w:rsid w:val="0008518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AgendaTitleH2">
    <w:name w:val="Agenda_Title_H2"/>
    <w:basedOn w:val="H1"/>
    <w:next w:val="Normal"/>
    <w:qFormat/>
    <w:rsid w:val="00085185"/>
    <w:pPr>
      <w:spacing w:line="240" w:lineRule="exact"/>
      <w:ind w:right="5040"/>
      <w:outlineLvl w:val="1"/>
    </w:pPr>
    <w:rPr>
      <w:spacing w:val="2"/>
      <w:sz w:val="20"/>
    </w:rPr>
  </w:style>
  <w:style w:type="paragraph" w:styleId="Textodeglobo">
    <w:name w:val="Balloon Text"/>
    <w:basedOn w:val="Normal"/>
    <w:link w:val="TextodegloboCar"/>
    <w:uiPriority w:val="99"/>
    <w:semiHidden/>
    <w:unhideWhenUsed/>
    <w:rsid w:val="00085185"/>
    <w:pPr>
      <w:spacing w:line="240" w:lineRule="auto"/>
    </w:pPr>
    <w:rPr>
      <w:rFonts w:ascii="Tahoma" w:hAnsi="Tahoma" w:cs="Tahoma"/>
      <w:sz w:val="16"/>
      <w:szCs w:val="16"/>
    </w:rPr>
  </w:style>
  <w:style w:type="character" w:customStyle="1" w:styleId="TextodegloboCar">
    <w:name w:val="Texto de globo Car"/>
    <w:link w:val="Textodeglobo"/>
    <w:uiPriority w:val="99"/>
    <w:semiHidden/>
    <w:rsid w:val="00085185"/>
    <w:rPr>
      <w:rFonts w:ascii="Tahoma" w:eastAsiaTheme="minorHAnsi" w:hAnsi="Tahoma" w:cs="Tahoma"/>
      <w:spacing w:val="4"/>
      <w:w w:val="103"/>
      <w:kern w:val="14"/>
      <w:sz w:val="16"/>
      <w:szCs w:val="16"/>
      <w:lang w:val="fr-CA" w:eastAsia="en-US"/>
    </w:rPr>
  </w:style>
  <w:style w:type="paragraph" w:customStyle="1" w:styleId="Bullet1">
    <w:name w:val="Bullet 1"/>
    <w:basedOn w:val="Normal"/>
    <w:qFormat/>
    <w:rsid w:val="00085185"/>
    <w:pPr>
      <w:numPr>
        <w:numId w:val="17"/>
      </w:numPr>
      <w:spacing w:after="120"/>
      <w:ind w:right="1267"/>
      <w:jc w:val="both"/>
    </w:pPr>
  </w:style>
  <w:style w:type="paragraph" w:customStyle="1" w:styleId="Bullet2">
    <w:name w:val="Bullet 2"/>
    <w:basedOn w:val="Normal"/>
    <w:qFormat/>
    <w:rsid w:val="00085185"/>
    <w:pPr>
      <w:numPr>
        <w:numId w:val="18"/>
      </w:numPr>
      <w:spacing w:after="120"/>
      <w:ind w:right="1264"/>
      <w:jc w:val="both"/>
    </w:pPr>
  </w:style>
  <w:style w:type="paragraph" w:customStyle="1" w:styleId="Bullet3">
    <w:name w:val="Bullet 3"/>
    <w:basedOn w:val="SingleTxt"/>
    <w:qFormat/>
    <w:rsid w:val="00085185"/>
    <w:pPr>
      <w:numPr>
        <w:numId w:val="19"/>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085185"/>
    <w:pPr>
      <w:spacing w:before="240" w:after="0" w:line="240" w:lineRule="auto"/>
    </w:pPr>
    <w:rPr>
      <w:rFonts w:ascii="Times New Roman" w:eastAsiaTheme="minorHAnsi" w:hAnsi="Times New Roman" w:cs="Times New Roman"/>
      <w:spacing w:val="4"/>
      <w:w w:val="103"/>
      <w:kern w:val="14"/>
      <w:sz w:val="20"/>
      <w:lang w:val="en-US" w:eastAsia="en-US"/>
    </w:rPr>
  </w:style>
  <w:style w:type="character" w:styleId="Refdenotaalfinal">
    <w:name w:val="endnote reference"/>
    <w:basedOn w:val="Fuentedeprrafopredeter"/>
    <w:uiPriority w:val="99"/>
    <w:semiHidden/>
    <w:rsid w:val="00085185"/>
    <w:rPr>
      <w:color w:val="auto"/>
      <w:spacing w:val="5"/>
      <w:w w:val="103"/>
      <w:kern w:val="14"/>
      <w:position w:val="0"/>
      <w:vertAlign w:val="superscript"/>
      <w14:ligatures w14:val="none"/>
      <w14:numForm w14:val="default"/>
      <w14:numSpacing w14:val="default"/>
      <w14:stylisticSets/>
      <w14:cntxtAlts w14:val="0"/>
    </w:rPr>
  </w:style>
  <w:style w:type="paragraph" w:styleId="Textonotaalfinal">
    <w:name w:val="endnote text"/>
    <w:basedOn w:val="Normal"/>
    <w:link w:val="TextonotaalfinalCar"/>
    <w:uiPriority w:val="99"/>
    <w:semiHidden/>
    <w:unhideWhenUsed/>
    <w:rsid w:val="00085185"/>
    <w:pPr>
      <w:spacing w:line="210" w:lineRule="exact"/>
    </w:pPr>
    <w:rPr>
      <w:sz w:val="17"/>
      <w:szCs w:val="20"/>
    </w:rPr>
  </w:style>
  <w:style w:type="character" w:customStyle="1" w:styleId="TextonotaalfinalCar">
    <w:name w:val="Texto nota al final Car"/>
    <w:link w:val="Textonotaalfinal"/>
    <w:uiPriority w:val="99"/>
    <w:semiHidden/>
    <w:rsid w:val="00085185"/>
    <w:rPr>
      <w:rFonts w:ascii="Times New Roman" w:eastAsiaTheme="minorHAnsi" w:hAnsi="Times New Roman" w:cs="Times New Roman"/>
      <w:spacing w:val="4"/>
      <w:w w:val="103"/>
      <w:kern w:val="14"/>
      <w:sz w:val="17"/>
      <w:szCs w:val="20"/>
      <w:lang w:val="fr-CA" w:eastAsia="en-US"/>
    </w:rPr>
  </w:style>
  <w:style w:type="paragraph" w:styleId="Piedepgina">
    <w:name w:val="footer"/>
    <w:link w:val="PiedepginaCar"/>
    <w:uiPriority w:val="99"/>
    <w:qFormat/>
    <w:rsid w:val="00085185"/>
    <w:pPr>
      <w:tabs>
        <w:tab w:val="center" w:pos="4320"/>
        <w:tab w:val="right" w:pos="8640"/>
      </w:tabs>
      <w:spacing w:after="0" w:line="210" w:lineRule="exact"/>
    </w:pPr>
    <w:rPr>
      <w:rFonts w:ascii="Times New Roman" w:eastAsiaTheme="minorHAnsi" w:hAnsi="Times New Roman" w:cs="Times New Roman"/>
      <w:b/>
      <w:spacing w:val="3"/>
      <w:w w:val="105"/>
      <w:sz w:val="17"/>
      <w:lang w:val="en-US" w:eastAsia="en-US"/>
    </w:rPr>
  </w:style>
  <w:style w:type="character" w:customStyle="1" w:styleId="PiedepginaCar">
    <w:name w:val="Pie de página Car"/>
    <w:link w:val="Piedepgina"/>
    <w:uiPriority w:val="99"/>
    <w:rsid w:val="00085185"/>
    <w:rPr>
      <w:rFonts w:ascii="Times New Roman" w:eastAsiaTheme="minorHAnsi" w:hAnsi="Times New Roman" w:cs="Times New Roman"/>
      <w:b/>
      <w:spacing w:val="3"/>
      <w:w w:val="105"/>
      <w:sz w:val="17"/>
      <w:lang w:val="en-US" w:eastAsia="en-US"/>
    </w:rPr>
  </w:style>
  <w:style w:type="character" w:styleId="Refdenotaalpie">
    <w:name w:val="footnote reference"/>
    <w:uiPriority w:val="99"/>
    <w:rsid w:val="00085185"/>
    <w:rPr>
      <w:color w:val="auto"/>
      <w:spacing w:val="5"/>
      <w:w w:val="103"/>
      <w:kern w:val="14"/>
      <w:position w:val="0"/>
      <w:sz w:val="17"/>
      <w:szCs w:val="17"/>
      <w:vertAlign w:val="superscript"/>
      <w14:ligatures w14:val="none"/>
      <w14:numForm w14:val="default"/>
      <w14:numSpacing w14:val="default"/>
      <w14:stylisticSets/>
      <w14:cntxtAlts w14:val="0"/>
    </w:rPr>
  </w:style>
  <w:style w:type="paragraph" w:styleId="Textonotapie">
    <w:name w:val="footnote text"/>
    <w:basedOn w:val="Normal"/>
    <w:link w:val="TextonotapieCar"/>
    <w:uiPriority w:val="99"/>
    <w:rsid w:val="00085185"/>
    <w:pPr>
      <w:spacing w:line="210" w:lineRule="exact"/>
    </w:pPr>
    <w:rPr>
      <w:sz w:val="17"/>
      <w:szCs w:val="20"/>
    </w:rPr>
  </w:style>
  <w:style w:type="character" w:customStyle="1" w:styleId="TextonotapieCar">
    <w:name w:val="Texto nota pie Car"/>
    <w:link w:val="Textonotapie"/>
    <w:uiPriority w:val="99"/>
    <w:rsid w:val="00085185"/>
    <w:rPr>
      <w:rFonts w:ascii="Times New Roman" w:eastAsiaTheme="minorHAnsi" w:hAnsi="Times New Roman" w:cs="Times New Roman"/>
      <w:spacing w:val="4"/>
      <w:w w:val="103"/>
      <w:kern w:val="14"/>
      <w:sz w:val="17"/>
      <w:szCs w:val="20"/>
      <w:lang w:val="fr-CA" w:eastAsia="en-US"/>
    </w:rPr>
  </w:style>
  <w:style w:type="paragraph" w:styleId="Encabezado">
    <w:name w:val="header"/>
    <w:link w:val="EncabezadoCar"/>
    <w:uiPriority w:val="99"/>
    <w:rsid w:val="00085185"/>
    <w:pPr>
      <w:tabs>
        <w:tab w:val="center" w:pos="4320"/>
        <w:tab w:val="right" w:pos="8640"/>
      </w:tabs>
      <w:spacing w:after="0" w:line="210" w:lineRule="exact"/>
    </w:pPr>
    <w:rPr>
      <w:rFonts w:ascii="Times New Roman" w:eastAsiaTheme="minorHAnsi" w:hAnsi="Times New Roman" w:cs="Times New Roman"/>
      <w:spacing w:val="3"/>
      <w:w w:val="105"/>
      <w:sz w:val="17"/>
      <w:lang w:val="en-US" w:eastAsia="en-US"/>
    </w:rPr>
  </w:style>
  <w:style w:type="character" w:customStyle="1" w:styleId="EncabezadoCar">
    <w:name w:val="Encabezado Car"/>
    <w:link w:val="Encabezado"/>
    <w:uiPriority w:val="99"/>
    <w:rsid w:val="00085185"/>
    <w:rPr>
      <w:rFonts w:ascii="Times New Roman" w:eastAsiaTheme="minorHAnsi" w:hAnsi="Times New Roman" w:cs="Times New Roman"/>
      <w:spacing w:val="3"/>
      <w:w w:val="105"/>
      <w:sz w:val="17"/>
      <w:lang w:val="en-US" w:eastAsia="en-US"/>
    </w:rPr>
  </w:style>
  <w:style w:type="character" w:customStyle="1" w:styleId="Ttulo1Car">
    <w:name w:val="Título 1 Car"/>
    <w:link w:val="Ttulo1"/>
    <w:uiPriority w:val="9"/>
    <w:rsid w:val="00085185"/>
    <w:rPr>
      <w:rFonts w:ascii="Arial" w:eastAsia="Times New Roman" w:hAnsi="Arial" w:cs="Times New Roman"/>
      <w:b/>
      <w:bCs/>
      <w:color w:val="365F91"/>
      <w:spacing w:val="4"/>
      <w:w w:val="103"/>
      <w:kern w:val="32"/>
      <w:sz w:val="32"/>
      <w:szCs w:val="28"/>
      <w:lang w:val="fr-CA" w:eastAsia="en-US"/>
    </w:rPr>
  </w:style>
  <w:style w:type="character" w:customStyle="1" w:styleId="Ttulo2Car">
    <w:name w:val="Título 2 Car"/>
    <w:link w:val="Ttulo2"/>
    <w:uiPriority w:val="9"/>
    <w:rsid w:val="00085185"/>
    <w:rPr>
      <w:rFonts w:ascii="Arial" w:eastAsia="Times New Roman" w:hAnsi="Arial" w:cs="Times New Roman"/>
      <w:b/>
      <w:bCs/>
      <w:i/>
      <w:color w:val="4F81BD"/>
      <w:spacing w:val="4"/>
      <w:w w:val="103"/>
      <w:kern w:val="14"/>
      <w:sz w:val="28"/>
      <w:szCs w:val="26"/>
      <w:lang w:val="fr-CA" w:eastAsia="en-US"/>
    </w:rPr>
  </w:style>
  <w:style w:type="character" w:customStyle="1" w:styleId="Ttulo3Car">
    <w:name w:val="Título 3 Car"/>
    <w:link w:val="Ttulo3"/>
    <w:uiPriority w:val="9"/>
    <w:rsid w:val="00085185"/>
    <w:rPr>
      <w:rFonts w:ascii="Arial" w:eastAsia="Times New Roman" w:hAnsi="Arial" w:cs="Times New Roman"/>
      <w:b/>
      <w:bCs/>
      <w:color w:val="4F81BD"/>
      <w:spacing w:val="4"/>
      <w:w w:val="103"/>
      <w:kern w:val="14"/>
      <w:sz w:val="26"/>
      <w:lang w:val="fr-CA" w:eastAsia="en-US"/>
    </w:rPr>
  </w:style>
  <w:style w:type="character" w:customStyle="1" w:styleId="Ttulo4Car">
    <w:name w:val="Título 4 Car"/>
    <w:link w:val="Ttulo4"/>
    <w:uiPriority w:val="9"/>
    <w:rsid w:val="00085185"/>
    <w:rPr>
      <w:rFonts w:ascii="Cambria" w:eastAsia="Times New Roman" w:hAnsi="Cambria" w:cs="Times New Roman"/>
      <w:b/>
      <w:bCs/>
      <w:i/>
      <w:iCs/>
      <w:color w:val="4F81BD"/>
      <w:spacing w:val="4"/>
      <w:w w:val="103"/>
      <w:kern w:val="14"/>
      <w:sz w:val="20"/>
      <w:lang w:val="fr-CA" w:eastAsia="en-US"/>
    </w:rPr>
  </w:style>
  <w:style w:type="character" w:customStyle="1" w:styleId="Ttulo5Car">
    <w:name w:val="Título 5 Car"/>
    <w:link w:val="Ttulo5"/>
    <w:uiPriority w:val="9"/>
    <w:rsid w:val="00085185"/>
    <w:rPr>
      <w:rFonts w:ascii="Cambria" w:eastAsia="Times New Roman" w:hAnsi="Cambria" w:cs="Times New Roman"/>
      <w:color w:val="243F60"/>
      <w:spacing w:val="4"/>
      <w:w w:val="103"/>
      <w:kern w:val="14"/>
      <w:sz w:val="20"/>
      <w:lang w:val="fr-CA" w:eastAsia="en-US"/>
    </w:rPr>
  </w:style>
  <w:style w:type="character" w:customStyle="1" w:styleId="Ttulo6Car">
    <w:name w:val="Título 6 Car"/>
    <w:link w:val="Ttulo6"/>
    <w:uiPriority w:val="9"/>
    <w:rsid w:val="00085185"/>
    <w:rPr>
      <w:rFonts w:ascii="Cambria" w:eastAsia="Times New Roman" w:hAnsi="Cambria" w:cs="Times New Roman"/>
      <w:i/>
      <w:iCs/>
      <w:color w:val="243F60"/>
      <w:spacing w:val="4"/>
      <w:w w:val="103"/>
      <w:kern w:val="14"/>
      <w:sz w:val="20"/>
      <w:lang w:val="fr-CA" w:eastAsia="en-US"/>
    </w:rPr>
  </w:style>
  <w:style w:type="character" w:customStyle="1" w:styleId="Ttulo7Car">
    <w:name w:val="Título 7 Car"/>
    <w:link w:val="Ttulo7"/>
    <w:uiPriority w:val="9"/>
    <w:semiHidden/>
    <w:rsid w:val="00085185"/>
    <w:rPr>
      <w:rFonts w:ascii="Cambria" w:eastAsia="Times New Roman" w:hAnsi="Cambria" w:cs="Times New Roman"/>
      <w:i/>
      <w:iCs/>
      <w:color w:val="404040"/>
      <w:spacing w:val="4"/>
      <w:w w:val="103"/>
      <w:kern w:val="14"/>
      <w:sz w:val="20"/>
      <w:lang w:val="fr-CA" w:eastAsia="en-US"/>
    </w:rPr>
  </w:style>
  <w:style w:type="character" w:customStyle="1" w:styleId="Ttulo8Car">
    <w:name w:val="Título 8 Car"/>
    <w:link w:val="Ttulo8"/>
    <w:uiPriority w:val="9"/>
    <w:semiHidden/>
    <w:rsid w:val="00085185"/>
    <w:rPr>
      <w:rFonts w:ascii="Cambria" w:eastAsia="Times New Roman" w:hAnsi="Cambria" w:cs="Times New Roman"/>
      <w:color w:val="404040"/>
      <w:spacing w:val="4"/>
      <w:w w:val="103"/>
      <w:kern w:val="14"/>
      <w:sz w:val="20"/>
      <w:szCs w:val="20"/>
      <w:lang w:val="fr-CA" w:eastAsia="en-US"/>
    </w:rPr>
  </w:style>
  <w:style w:type="character" w:customStyle="1" w:styleId="Ttulo9Car">
    <w:name w:val="Título 9 Car"/>
    <w:link w:val="Ttulo9"/>
    <w:uiPriority w:val="9"/>
    <w:semiHidden/>
    <w:rsid w:val="00085185"/>
    <w:rPr>
      <w:rFonts w:ascii="Cambria" w:eastAsia="Times New Roman" w:hAnsi="Cambria" w:cs="Times New Roman"/>
      <w:i/>
      <w:iCs/>
      <w:color w:val="404040"/>
      <w:spacing w:val="4"/>
      <w:w w:val="103"/>
      <w:kern w:val="14"/>
      <w:sz w:val="20"/>
      <w:szCs w:val="20"/>
      <w:lang w:val="fr-CA" w:eastAsia="en-US"/>
    </w:rPr>
  </w:style>
  <w:style w:type="character" w:styleId="Nmerodelnea">
    <w:name w:val="line number"/>
    <w:uiPriority w:val="99"/>
    <w:qFormat/>
    <w:rsid w:val="00085185"/>
    <w:rPr>
      <w:sz w:val="14"/>
    </w:rPr>
  </w:style>
  <w:style w:type="paragraph" w:styleId="Prrafodelista">
    <w:name w:val="List Paragraph"/>
    <w:basedOn w:val="Normal"/>
    <w:uiPriority w:val="34"/>
    <w:rsid w:val="00085185"/>
    <w:pPr>
      <w:ind w:left="720"/>
      <w:contextualSpacing/>
    </w:pPr>
  </w:style>
  <w:style w:type="paragraph" w:styleId="Sinespaciado">
    <w:name w:val="No Spacing"/>
    <w:uiPriority w:val="1"/>
    <w:rsid w:val="00085185"/>
    <w:pPr>
      <w:spacing w:after="0" w:line="240" w:lineRule="auto"/>
    </w:pPr>
    <w:rPr>
      <w:rFonts w:ascii="Calibri" w:eastAsiaTheme="minorHAnsi" w:hAnsi="Calibri" w:cs="Times New Roman"/>
      <w:lang w:val="en-US" w:eastAsia="en-US"/>
    </w:rPr>
  </w:style>
  <w:style w:type="paragraph" w:customStyle="1" w:styleId="Original">
    <w:name w:val="Original"/>
    <w:next w:val="Normal"/>
    <w:autoRedefine/>
    <w:qFormat/>
    <w:rsid w:val="00085185"/>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Publication">
    <w:name w:val="Publication"/>
    <w:next w:val="Normal"/>
    <w:autoRedefine/>
    <w:qFormat/>
    <w:rsid w:val="00085185"/>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ReleaseDate">
    <w:name w:val="Release Date"/>
    <w:next w:val="Normal"/>
    <w:autoRedefine/>
    <w:qFormat/>
    <w:rsid w:val="00085185"/>
    <w:pPr>
      <w:spacing w:after="0" w:line="240" w:lineRule="auto"/>
    </w:pPr>
    <w:rPr>
      <w:rFonts w:ascii="Times New Roman" w:eastAsiaTheme="minorHAnsi" w:hAnsi="Times New Roman" w:cs="Times New Roman"/>
      <w:spacing w:val="-3"/>
      <w:w w:val="99"/>
      <w:kern w:val="14"/>
      <w:sz w:val="20"/>
      <w:lang w:val="en-US" w:eastAsia="en-US"/>
    </w:rPr>
  </w:style>
  <w:style w:type="paragraph" w:customStyle="1" w:styleId="Small">
    <w:name w:val="Small"/>
    <w:basedOn w:val="Normal"/>
    <w:next w:val="Normal"/>
    <w:qFormat/>
    <w:rsid w:val="00085185"/>
    <w:pPr>
      <w:tabs>
        <w:tab w:val="right" w:pos="9965"/>
      </w:tabs>
      <w:spacing w:line="210" w:lineRule="exact"/>
    </w:pPr>
    <w:rPr>
      <w:spacing w:val="5"/>
      <w:w w:val="104"/>
      <w:sz w:val="17"/>
    </w:rPr>
  </w:style>
  <w:style w:type="paragraph" w:customStyle="1" w:styleId="SmallX">
    <w:name w:val="SmallX"/>
    <w:basedOn w:val="Small"/>
    <w:next w:val="Normal"/>
    <w:qFormat/>
    <w:rsid w:val="00085185"/>
    <w:pPr>
      <w:spacing w:line="180" w:lineRule="exact"/>
      <w:jc w:val="right"/>
    </w:pPr>
    <w:rPr>
      <w:spacing w:val="6"/>
      <w:w w:val="106"/>
      <w:sz w:val="14"/>
    </w:rPr>
  </w:style>
  <w:style w:type="character" w:styleId="Textoennegrita">
    <w:name w:val="Strong"/>
    <w:uiPriority w:val="22"/>
    <w:rsid w:val="00085185"/>
    <w:rPr>
      <w:b/>
      <w:bCs/>
    </w:rPr>
  </w:style>
  <w:style w:type="paragraph" w:customStyle="1" w:styleId="Style1">
    <w:name w:val="Style1"/>
    <w:basedOn w:val="Normal"/>
    <w:qFormat/>
    <w:rsid w:val="00085185"/>
  </w:style>
  <w:style w:type="paragraph" w:customStyle="1" w:styleId="Style2">
    <w:name w:val="Style2"/>
    <w:basedOn w:val="Normal"/>
    <w:autoRedefine/>
    <w:qFormat/>
    <w:rsid w:val="00085185"/>
  </w:style>
  <w:style w:type="paragraph" w:customStyle="1" w:styleId="TitleHCH">
    <w:name w:val="Title_H_CH"/>
    <w:basedOn w:val="H1"/>
    <w:next w:val="Normal"/>
    <w:qFormat/>
    <w:rsid w:val="00085185"/>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right="1267" w:hanging="1267"/>
    </w:pPr>
    <w:rPr>
      <w:spacing w:val="2"/>
      <w:sz w:val="28"/>
    </w:rPr>
  </w:style>
  <w:style w:type="paragraph" w:customStyle="1" w:styleId="TitleH2">
    <w:name w:val="Title_H2"/>
    <w:basedOn w:val="H1"/>
    <w:next w:val="SingleTxt"/>
    <w:qFormat/>
    <w:rsid w:val="00085185"/>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outlineLvl w:val="1"/>
    </w:pPr>
    <w:rPr>
      <w:spacing w:val="2"/>
      <w:sz w:val="20"/>
    </w:rPr>
  </w:style>
  <w:style w:type="paragraph" w:customStyle="1" w:styleId="XLarge">
    <w:name w:val="XLarge"/>
    <w:basedOn w:val="HM"/>
    <w:qFormat/>
    <w:rsid w:val="00085185"/>
    <w:pPr>
      <w:tabs>
        <w:tab w:val="right" w:pos="360"/>
      </w:tabs>
      <w:spacing w:line="390" w:lineRule="exact"/>
    </w:pPr>
    <w:rPr>
      <w:spacing w:val="-4"/>
      <w:w w:val="98"/>
      <w:sz w:val="40"/>
    </w:rPr>
  </w:style>
  <w:style w:type="paragraph" w:customStyle="1" w:styleId="Session">
    <w:name w:val="Session"/>
    <w:basedOn w:val="H23"/>
    <w:qFormat/>
    <w:rsid w:val="00472B7F"/>
    <w:rPr>
      <w:lang w:val="fr-FR"/>
    </w:rPr>
  </w:style>
  <w:style w:type="paragraph" w:customStyle="1" w:styleId="Sponsors">
    <w:name w:val="Sponsors"/>
    <w:basedOn w:val="H1"/>
    <w:next w:val="Normal"/>
    <w:qFormat/>
    <w:rsid w:val="003905F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1"/>
    </w:pPr>
    <w:rPr>
      <w:spacing w:val="2"/>
      <w:sz w:val="20"/>
    </w:rPr>
  </w:style>
  <w:style w:type="paragraph" w:customStyle="1" w:styleId="STitleM">
    <w:name w:val="S_Title_M"/>
    <w:basedOn w:val="Normal"/>
    <w:next w:val="Normal"/>
    <w:qFormat/>
    <w:rsid w:val="00472B7F"/>
    <w:pPr>
      <w:keepNext/>
      <w:keepLines/>
      <w:tabs>
        <w:tab w:val="right" w:pos="357"/>
      </w:tabs>
      <w:suppressAutoHyphens/>
      <w:spacing w:line="390" w:lineRule="exact"/>
      <w:ind w:left="1264" w:right="1264"/>
      <w:outlineLvl w:val="0"/>
    </w:pPr>
    <w:rPr>
      <w:b/>
      <w:spacing w:val="-4"/>
      <w:w w:val="98"/>
      <w:sz w:val="40"/>
    </w:rPr>
  </w:style>
  <w:style w:type="paragraph" w:customStyle="1" w:styleId="STitleS">
    <w:name w:val="S_Title_S"/>
    <w:basedOn w:val="HCH"/>
    <w:next w:val="Normal"/>
    <w:qFormat/>
    <w:rsid w:val="00472B7F"/>
    <w:pPr>
      <w:ind w:left="1264" w:right="1264"/>
    </w:pPr>
  </w:style>
  <w:style w:type="paragraph" w:customStyle="1" w:styleId="STitleL">
    <w:name w:val="S_Title_L"/>
    <w:basedOn w:val="SM"/>
    <w:next w:val="Normal"/>
    <w:qFormat/>
    <w:rsid w:val="00472B7F"/>
    <w:pPr>
      <w:spacing w:line="540" w:lineRule="exact"/>
    </w:pPr>
    <w:rPr>
      <w:spacing w:val="-8"/>
      <w:w w:val="96"/>
      <w:sz w:val="57"/>
    </w:rPr>
  </w:style>
  <w:style w:type="paragraph" w:customStyle="1" w:styleId="SummaryRecord">
    <w:name w:val="SummaryRecord"/>
    <w:basedOn w:val="H23"/>
    <w:next w:val="Session"/>
    <w:qFormat/>
    <w:rsid w:val="00472B7F"/>
  </w:style>
  <w:style w:type="paragraph" w:customStyle="1" w:styleId="SRMeetingInfo">
    <w:name w:val="SR_Meeting_Info"/>
    <w:next w:val="Normal"/>
    <w:qFormat/>
    <w:rsid w:val="00472B7F"/>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SRContents">
    <w:name w:val="SR_Contents"/>
    <w:basedOn w:val="Normal"/>
    <w:qFormat/>
    <w:rsid w:val="00472B7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umber">
    <w:name w:val="Agenda_Item_Number"/>
    <w:next w:val="Normal"/>
    <w:qFormat/>
    <w:rsid w:val="00472B7F"/>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AgendaItemTitle">
    <w:name w:val="Agenda_Item_Title"/>
    <w:basedOn w:val="H1"/>
    <w:next w:val="Normal"/>
    <w:qFormat/>
    <w:rsid w:val="00472B7F"/>
    <w:pPr>
      <w:spacing w:line="240" w:lineRule="exact"/>
      <w:ind w:right="5040"/>
      <w:outlineLvl w:val="1"/>
    </w:pPr>
    <w:rPr>
      <w:spacing w:val="2"/>
      <w:sz w:val="20"/>
    </w:rPr>
  </w:style>
  <w:style w:type="paragraph" w:customStyle="1" w:styleId="DecisionNumber">
    <w:name w:val="DecisionNumber"/>
    <w:basedOn w:val="H1"/>
    <w:next w:val="Normal"/>
    <w:qFormat/>
    <w:rsid w:val="00472B7F"/>
    <w:pPr>
      <w:spacing w:line="240" w:lineRule="exact"/>
      <w:ind w:right="5040"/>
      <w:outlineLvl w:val="1"/>
    </w:pPr>
    <w:rPr>
      <w:spacing w:val="2"/>
      <w:sz w:val="20"/>
    </w:rPr>
  </w:style>
  <w:style w:type="paragraph" w:customStyle="1" w:styleId="DecisionTitle">
    <w:name w:val="DecisionTitle"/>
    <w:basedOn w:val="H1"/>
    <w:next w:val="Normal"/>
    <w:qFormat/>
    <w:rsid w:val="00472B7F"/>
    <w:pPr>
      <w:spacing w:line="240" w:lineRule="exact"/>
      <w:ind w:right="5040"/>
      <w:outlineLvl w:val="1"/>
    </w:pPr>
    <w:rPr>
      <w:spacing w:val="2"/>
      <w:sz w:val="20"/>
    </w:rPr>
  </w:style>
  <w:style w:type="paragraph" w:customStyle="1" w:styleId="MeetingNumber">
    <w:name w:val="MeetingNumber"/>
    <w:basedOn w:val="H1"/>
    <w:next w:val="Normal"/>
    <w:qFormat/>
    <w:rsid w:val="00472B7F"/>
    <w:pPr>
      <w:spacing w:line="240" w:lineRule="exact"/>
      <w:ind w:right="5040"/>
      <w:outlineLvl w:val="1"/>
    </w:pPr>
    <w:rPr>
      <w:spacing w:val="2"/>
      <w:sz w:val="20"/>
    </w:rPr>
  </w:style>
  <w:style w:type="character" w:styleId="Refdecomentario">
    <w:name w:val="annotation reference"/>
    <w:basedOn w:val="Fuentedeprrafopredeter"/>
    <w:uiPriority w:val="99"/>
    <w:semiHidden/>
    <w:unhideWhenUsed/>
    <w:rsid w:val="00BF6D2E"/>
    <w:rPr>
      <w:sz w:val="16"/>
      <w:szCs w:val="16"/>
    </w:rPr>
  </w:style>
  <w:style w:type="paragraph" w:styleId="Textocomentario">
    <w:name w:val="annotation text"/>
    <w:basedOn w:val="Normal"/>
    <w:link w:val="TextocomentarioCar"/>
    <w:uiPriority w:val="99"/>
    <w:semiHidden/>
    <w:unhideWhenUsed/>
    <w:rsid w:val="00BF6D2E"/>
    <w:pPr>
      <w:spacing w:line="240" w:lineRule="auto"/>
    </w:pPr>
    <w:rPr>
      <w:szCs w:val="20"/>
    </w:rPr>
  </w:style>
  <w:style w:type="character" w:customStyle="1" w:styleId="TextocomentarioCar">
    <w:name w:val="Texto comentario Car"/>
    <w:basedOn w:val="Fuentedeprrafopredeter"/>
    <w:link w:val="Textocomentario"/>
    <w:uiPriority w:val="99"/>
    <w:semiHidden/>
    <w:rsid w:val="00BF6D2E"/>
    <w:rPr>
      <w:rFonts w:ascii="Times New Roman" w:eastAsiaTheme="minorHAnsi" w:hAnsi="Times New Roman" w:cs="Times New Roman"/>
      <w:spacing w:val="4"/>
      <w:w w:val="103"/>
      <w:kern w:val="14"/>
      <w:sz w:val="20"/>
      <w:szCs w:val="20"/>
      <w:lang w:val="fr-CA" w:eastAsia="en-US"/>
    </w:rPr>
  </w:style>
  <w:style w:type="paragraph" w:styleId="Asuntodelcomentario">
    <w:name w:val="annotation subject"/>
    <w:basedOn w:val="Textocomentario"/>
    <w:next w:val="Textocomentario"/>
    <w:link w:val="AsuntodelcomentarioCar"/>
    <w:uiPriority w:val="99"/>
    <w:semiHidden/>
    <w:unhideWhenUsed/>
    <w:rsid w:val="00BF6D2E"/>
    <w:rPr>
      <w:b/>
      <w:bCs/>
    </w:rPr>
  </w:style>
  <w:style w:type="character" w:customStyle="1" w:styleId="AsuntodelcomentarioCar">
    <w:name w:val="Asunto del comentario Car"/>
    <w:basedOn w:val="TextocomentarioCar"/>
    <w:link w:val="Asuntodelcomentario"/>
    <w:uiPriority w:val="99"/>
    <w:semiHidden/>
    <w:rsid w:val="00BF6D2E"/>
    <w:rPr>
      <w:rFonts w:ascii="Times New Roman" w:eastAsiaTheme="minorHAnsi" w:hAnsi="Times New Roman" w:cs="Times New Roman"/>
      <w:b/>
      <w:bCs/>
      <w:spacing w:val="4"/>
      <w:w w:val="103"/>
      <w:kern w:val="14"/>
      <w:sz w:val="20"/>
      <w:szCs w:val="20"/>
      <w:lang w:val="fr-CA" w:eastAsia="en-US"/>
    </w:rPr>
  </w:style>
  <w:style w:type="paragraph" w:customStyle="1" w:styleId="HCh0">
    <w:name w:val="_ H _Ch"/>
    <w:basedOn w:val="H1"/>
    <w:next w:val="SingleTxt"/>
    <w:qFormat/>
    <w:rsid w:val="00D51D0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pPr>
    <w:rPr>
      <w:rFonts w:eastAsia="Times New Roman"/>
      <w:spacing w:val="-2"/>
      <w:sz w:val="28"/>
      <w:szCs w:val="20"/>
      <w:lang w:val="en-GB"/>
    </w:rPr>
  </w:style>
  <w:style w:type="character" w:styleId="Hipervnculo">
    <w:name w:val="Hyperlink"/>
    <w:basedOn w:val="Fuentedeprrafopredeter"/>
    <w:uiPriority w:val="99"/>
    <w:unhideWhenUsed/>
    <w:rsid w:val="00D425E3"/>
    <w:rPr>
      <w:color w:val="0000FF"/>
      <w:u w:val="none"/>
    </w:rPr>
  </w:style>
  <w:style w:type="character" w:styleId="Hipervnculovisitado">
    <w:name w:val="FollowedHyperlink"/>
    <w:basedOn w:val="Fuentedeprrafopredeter"/>
    <w:uiPriority w:val="99"/>
    <w:semiHidden/>
    <w:unhideWhenUsed/>
    <w:rsid w:val="00D425E3"/>
    <w:rPr>
      <w:color w:val="0000FF"/>
      <w:u w:val="none"/>
    </w:rPr>
  </w:style>
  <w:style w:type="character" w:styleId="Mencinsinresolver">
    <w:name w:val="Unresolved Mention"/>
    <w:basedOn w:val="Fuentedeprrafopredeter"/>
    <w:uiPriority w:val="99"/>
    <w:semiHidden/>
    <w:unhideWhenUsed/>
    <w:rsid w:val="00D425E3"/>
    <w:rPr>
      <w:color w:val="605E5C"/>
      <w:shd w:val="clear" w:color="auto" w:fill="E1DFDD"/>
    </w:rPr>
  </w:style>
  <w:style w:type="paragraph" w:styleId="Revisin">
    <w:name w:val="Revision"/>
    <w:hidden/>
    <w:uiPriority w:val="99"/>
    <w:semiHidden/>
    <w:rsid w:val="009C5B56"/>
    <w:pPr>
      <w:spacing w:after="0" w:line="240" w:lineRule="auto"/>
    </w:pPr>
    <w:rPr>
      <w:rFonts w:ascii="Times New Roman" w:eastAsiaTheme="minorHAnsi" w:hAnsi="Times New Roman" w:cs="Times New Roman"/>
      <w:spacing w:val="4"/>
      <w:w w:val="103"/>
      <w:kern w:val="14"/>
      <w:sz w:val="20"/>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ndocs.org/fr/A/RES/74/7"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4A1EF-5E4D-4E90-A910-200ED5346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2602</Words>
  <Characters>14312</Characters>
  <Application>Microsoft Office Word</Application>
  <DocSecurity>2</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nduwimana</dc:creator>
  <cp:keywords/>
  <dc:description/>
  <cp:lastModifiedBy>Diosdado de Jesus Hernández Morera</cp:lastModifiedBy>
  <cp:revision>2</cp:revision>
  <cp:lastPrinted>2021-06-08T15:33:00Z</cp:lastPrinted>
  <dcterms:created xsi:type="dcterms:W3CDTF">2021-06-18T13:55:00Z</dcterms:created>
  <dcterms:modified xsi:type="dcterms:W3CDTF">2021-06-18T13:55:00Z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2106979F</vt:lpwstr>
  </property>
  <property fmtid="{D5CDD505-2E9C-101B-9397-08002B2CF9AE}" pid="3" name="ODSRefJobNo">
    <vt:lpwstr>2113441F</vt:lpwstr>
  </property>
  <property fmtid="{D5CDD505-2E9C-101B-9397-08002B2CF9AE}" pid="4" name="Symbol1">
    <vt:lpwstr>A/75/81/Add.1</vt:lpwstr>
  </property>
  <property fmtid="{D5CDD505-2E9C-101B-9397-08002B2CF9AE}" pid="5" name="Symbol2">
    <vt:lpwstr/>
  </property>
  <property fmtid="{D5CDD505-2E9C-101B-9397-08002B2CF9AE}" pid="6" name="Translator">
    <vt:lpwstr/>
  </property>
  <property fmtid="{D5CDD505-2E9C-101B-9397-08002B2CF9AE}" pid="7" name="Operator">
    <vt:lpwstr>jnd</vt:lpwstr>
  </property>
  <property fmtid="{D5CDD505-2E9C-101B-9397-08002B2CF9AE}" pid="8" name="DraftPages">
    <vt:lpwstr> </vt:lpwstr>
  </property>
  <property fmtid="{D5CDD505-2E9C-101B-9397-08002B2CF9AE}" pid="9" name="Comment">
    <vt:lpwstr/>
  </property>
  <property fmtid="{D5CDD505-2E9C-101B-9397-08002B2CF9AE}" pid="10" name="Category">
    <vt:lpwstr>Document</vt:lpwstr>
  </property>
  <property fmtid="{D5CDD505-2E9C-101B-9397-08002B2CF9AE}" pid="11" name="Language">
    <vt:lpwstr>French</vt:lpwstr>
  </property>
  <property fmtid="{D5CDD505-2E9C-101B-9397-08002B2CF9AE}" pid="12" name="Distribution">
    <vt:lpwstr>générale</vt:lpwstr>
  </property>
  <property fmtid="{D5CDD505-2E9C-101B-9397-08002B2CF9AE}" pid="13" name="Publication Date">
    <vt:lpwstr>27 mai 2021</vt:lpwstr>
  </property>
  <property fmtid="{D5CDD505-2E9C-101B-9397-08002B2CF9AE}" pid="14" name="Release Date">
    <vt:lpwstr/>
  </property>
  <property fmtid="{D5CDD505-2E9C-101B-9397-08002B2CF9AE}" pid="15" name="Session1">
    <vt:lpwstr>Soixante-quinzième session _x000d_</vt:lpwstr>
  </property>
  <property fmtid="{D5CDD505-2E9C-101B-9397-08002B2CF9AE}" pid="16" name="Agenda1">
    <vt:lpwstr>Point 42 de l’ordre du jour _x000d_</vt:lpwstr>
  </property>
  <property fmtid="{D5CDD505-2E9C-101B-9397-08002B2CF9AE}" pid="17" name="Agenda Title1">
    <vt:lpwstr>Nécessité de lever le blocus économique, commercial et financier imposé à Cuba par les États-Unis d’Amérique_x000d_</vt:lpwstr>
  </property>
  <property fmtid="{D5CDD505-2E9C-101B-9397-08002B2CF9AE}" pid="18" name="Title1">
    <vt:lpwstr>		Nécessité de lever le blocus économique, commercial et financier imposé à Cuba par les États-Unis d’Amérique _x000d_</vt:lpwstr>
  </property>
  <property fmtid="{D5CDD505-2E9C-101B-9397-08002B2CF9AE}" pid="19" name="Title2">
    <vt:lpwstr>		Rapport du Secrétaire général_x000d_</vt:lpwstr>
  </property>
  <property fmtid="{D5CDD505-2E9C-101B-9397-08002B2CF9AE}" pid="20" name="Title3">
    <vt:lpwstr>		Additif_x000d_</vt:lpwstr>
  </property>
</Properties>
</file>