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42127" w14:textId="6C722FC8" w:rsidR="002B1661" w:rsidRPr="0050323C" w:rsidRDefault="004F612C" w:rsidP="0050323C">
      <w:pPr>
        <w:pStyle w:val="isselectedend"/>
        <w:spacing w:before="0" w:beforeAutospacing="0" w:after="0" w:afterAutospacing="0" w:line="360" w:lineRule="auto"/>
        <w:jc w:val="both"/>
        <w:rPr>
          <w:rFonts w:ascii="Arial" w:hAnsi="Arial" w:cs="Arial"/>
          <w:b/>
        </w:rPr>
      </w:pPr>
      <w:r>
        <w:rPr>
          <w:rFonts w:ascii="Arial" w:hAnsi="Arial" w:cs="Arial"/>
          <w:b/>
        </w:rPr>
        <w:t>Intervención</w:t>
      </w:r>
      <w:r w:rsidR="002B1661" w:rsidRPr="0050323C">
        <w:rPr>
          <w:rFonts w:ascii="Arial" w:hAnsi="Arial" w:cs="Arial"/>
          <w:b/>
        </w:rPr>
        <w:t xml:space="preserve"> de José Alexis Ginarte Gato</w:t>
      </w:r>
      <w:r>
        <w:rPr>
          <w:rFonts w:ascii="Arial" w:hAnsi="Arial" w:cs="Arial"/>
          <w:b/>
        </w:rPr>
        <w:t>, presidente de la UNJC</w:t>
      </w:r>
      <w:r w:rsidR="002B1661" w:rsidRPr="0050323C">
        <w:rPr>
          <w:rFonts w:ascii="Arial" w:hAnsi="Arial" w:cs="Arial"/>
          <w:b/>
        </w:rPr>
        <w:t xml:space="preserve"> para el evento paralelo.</w:t>
      </w:r>
    </w:p>
    <w:p w14:paraId="353AB20D" w14:textId="77777777" w:rsidR="0050323C" w:rsidRPr="0050323C" w:rsidRDefault="0050323C" w:rsidP="0050323C">
      <w:pPr>
        <w:pStyle w:val="isselectedend"/>
        <w:spacing w:before="0" w:beforeAutospacing="0" w:after="0" w:afterAutospacing="0" w:line="360" w:lineRule="auto"/>
        <w:jc w:val="both"/>
        <w:rPr>
          <w:rFonts w:ascii="Arial" w:hAnsi="Arial" w:cs="Arial"/>
          <w:b/>
        </w:rPr>
      </w:pPr>
    </w:p>
    <w:p w14:paraId="1678989B" w14:textId="77777777" w:rsidR="002B1661" w:rsidRPr="0050323C" w:rsidRDefault="002B1661" w:rsidP="0050323C">
      <w:pPr>
        <w:pStyle w:val="isselectedend"/>
        <w:spacing w:before="0" w:beforeAutospacing="0" w:after="0" w:afterAutospacing="0" w:line="360" w:lineRule="auto"/>
        <w:jc w:val="both"/>
        <w:rPr>
          <w:rFonts w:ascii="Arial" w:hAnsi="Arial" w:cs="Arial"/>
        </w:rPr>
      </w:pPr>
      <w:r w:rsidRPr="0050323C">
        <w:rPr>
          <w:rFonts w:ascii="Arial" w:hAnsi="Arial" w:cs="Arial"/>
        </w:rPr>
        <w:t xml:space="preserve">Desde la </w:t>
      </w:r>
      <w:r w:rsidRPr="0050323C">
        <w:rPr>
          <w:rStyle w:val="Strong"/>
          <w:rFonts w:ascii="Arial" w:hAnsi="Arial" w:cs="Arial"/>
          <w:b w:val="0"/>
        </w:rPr>
        <w:t>Unión Nacional de Juristas de Cuba</w:t>
      </w:r>
      <w:r w:rsidRPr="0050323C">
        <w:rPr>
          <w:rFonts w:ascii="Arial" w:hAnsi="Arial" w:cs="Arial"/>
        </w:rPr>
        <w:t xml:space="preserve"> consideramos que el informe de la Relatora Especial no solo constituye una importante constatación de los efectos que las medidas coercitivas unilaterales tienen sobre el disfrute de los derechos humanos de la población cubana, sino que ofrece también una base jurídica relevante para avanzar hacia acciones más concretas de prevención, exigibilidad, responsabilidad y reparación.</w:t>
      </w:r>
    </w:p>
    <w:p w14:paraId="50AAAB52" w14:textId="77777777" w:rsidR="0050323C" w:rsidRPr="0050323C" w:rsidRDefault="0050323C" w:rsidP="0050323C">
      <w:pPr>
        <w:pStyle w:val="isselectedend"/>
        <w:spacing w:before="0" w:beforeAutospacing="0" w:after="0" w:afterAutospacing="0" w:line="360" w:lineRule="auto"/>
        <w:jc w:val="both"/>
        <w:rPr>
          <w:rFonts w:ascii="Arial" w:hAnsi="Arial" w:cs="Arial"/>
        </w:rPr>
      </w:pPr>
    </w:p>
    <w:p w14:paraId="19814E9F" w14:textId="7D4FBE0D" w:rsidR="0050323C" w:rsidRPr="0050323C" w:rsidRDefault="002B1661" w:rsidP="0050323C">
      <w:pPr>
        <w:pStyle w:val="isselectedend"/>
        <w:spacing w:before="0" w:beforeAutospacing="0" w:after="0" w:afterAutospacing="0" w:line="360" w:lineRule="auto"/>
        <w:jc w:val="both"/>
        <w:rPr>
          <w:rFonts w:ascii="Arial" w:hAnsi="Arial" w:cs="Arial"/>
          <w:bCs/>
        </w:rPr>
      </w:pPr>
      <w:r w:rsidRPr="0050323C">
        <w:rPr>
          <w:rFonts w:ascii="Arial" w:hAnsi="Arial" w:cs="Arial"/>
        </w:rPr>
        <w:t xml:space="preserve">En </w:t>
      </w:r>
      <w:r w:rsidR="0050323C" w:rsidRPr="0050323C">
        <w:rPr>
          <w:rFonts w:ascii="Arial" w:hAnsi="Arial" w:cs="Arial"/>
        </w:rPr>
        <w:t>primer lugar</w:t>
      </w:r>
      <w:r w:rsidRPr="0050323C">
        <w:rPr>
          <w:rFonts w:ascii="Arial" w:hAnsi="Arial" w:cs="Arial"/>
        </w:rPr>
        <w:t xml:space="preserve">, proponemos la creación de un </w:t>
      </w:r>
      <w:r w:rsidRPr="0050323C">
        <w:rPr>
          <w:rStyle w:val="Strong"/>
          <w:rFonts w:ascii="Arial" w:hAnsi="Arial" w:cs="Arial"/>
          <w:bCs w:val="0"/>
        </w:rPr>
        <w:t>mecanismo sistemático de documentación jurídica de los daños ocasionados por las medidas coercitivas unilaterales</w:t>
      </w:r>
      <w:r w:rsidRPr="0050323C">
        <w:rPr>
          <w:rStyle w:val="Strong"/>
          <w:rFonts w:ascii="Arial" w:hAnsi="Arial" w:cs="Arial"/>
          <w:b w:val="0"/>
        </w:rPr>
        <w:t xml:space="preserve"> </w:t>
      </w:r>
      <w:r w:rsidRPr="0050323C">
        <w:rPr>
          <w:rStyle w:val="Strong"/>
          <w:rFonts w:ascii="Arial" w:hAnsi="Arial" w:cs="Arial"/>
          <w:bCs w:val="0"/>
        </w:rPr>
        <w:t>y por el exceso de celo en su cumplimiento</w:t>
      </w:r>
      <w:r w:rsidRPr="0050323C">
        <w:rPr>
          <w:rFonts w:ascii="Arial" w:hAnsi="Arial" w:cs="Arial"/>
          <w:bCs/>
        </w:rPr>
        <w:t>.</w:t>
      </w:r>
    </w:p>
    <w:p w14:paraId="0C1A143A" w14:textId="3E7B4134" w:rsidR="0050323C" w:rsidRPr="0050323C" w:rsidRDefault="002B1661" w:rsidP="0050323C">
      <w:pPr>
        <w:pStyle w:val="isselectedend"/>
        <w:spacing w:before="0" w:beforeAutospacing="0" w:after="0" w:afterAutospacing="0" w:line="360" w:lineRule="auto"/>
        <w:jc w:val="both"/>
        <w:rPr>
          <w:rFonts w:ascii="Arial" w:hAnsi="Arial" w:cs="Arial"/>
          <w:bCs/>
        </w:rPr>
      </w:pPr>
      <w:r w:rsidRPr="0050323C">
        <w:rPr>
          <w:rFonts w:ascii="Arial" w:hAnsi="Arial" w:cs="Arial"/>
          <w:bCs/>
        </w:rPr>
        <w:t xml:space="preserve"> </w:t>
      </w:r>
    </w:p>
    <w:p w14:paraId="4C5030C8" w14:textId="77777777" w:rsidR="0050323C" w:rsidRPr="0050323C" w:rsidRDefault="002B1661" w:rsidP="0050323C">
      <w:pPr>
        <w:pStyle w:val="isselectedend"/>
        <w:spacing w:before="0" w:beforeAutospacing="0" w:after="0" w:afterAutospacing="0" w:line="360" w:lineRule="auto"/>
        <w:jc w:val="both"/>
        <w:rPr>
          <w:rFonts w:ascii="Arial" w:hAnsi="Arial" w:cs="Arial"/>
        </w:rPr>
      </w:pPr>
      <w:r w:rsidRPr="0050323C">
        <w:rPr>
          <w:rFonts w:ascii="Arial" w:hAnsi="Arial" w:cs="Arial"/>
        </w:rPr>
        <w:t xml:space="preserve">No se trataría únicamente de cuantificar pérdidas económicas, sino de identificar, caso por caso, la medida aplicada, el derecho humano afectado, las personas o grupos perjudicados, el agente que ejecuta o sobredimensiona la restricción, la relación de causalidad y el daño concreto producido. </w:t>
      </w:r>
    </w:p>
    <w:p w14:paraId="4284FC37" w14:textId="77777777" w:rsidR="0050323C" w:rsidRPr="0050323C" w:rsidRDefault="0050323C" w:rsidP="0050323C">
      <w:pPr>
        <w:pStyle w:val="isselectedend"/>
        <w:spacing w:before="0" w:beforeAutospacing="0" w:after="0" w:afterAutospacing="0" w:line="360" w:lineRule="auto"/>
        <w:jc w:val="both"/>
        <w:rPr>
          <w:rFonts w:ascii="Arial" w:hAnsi="Arial" w:cs="Arial"/>
        </w:rPr>
      </w:pPr>
    </w:p>
    <w:p w14:paraId="2B833812" w14:textId="3B6C3DA0" w:rsidR="002B1661" w:rsidRPr="0050323C" w:rsidRDefault="002B1661" w:rsidP="0050323C">
      <w:pPr>
        <w:pStyle w:val="isselectedend"/>
        <w:spacing w:before="0" w:beforeAutospacing="0" w:after="0" w:afterAutospacing="0" w:line="360" w:lineRule="auto"/>
        <w:jc w:val="both"/>
        <w:rPr>
          <w:rFonts w:ascii="Arial" w:hAnsi="Arial" w:cs="Arial"/>
        </w:rPr>
      </w:pPr>
      <w:r w:rsidRPr="0050323C">
        <w:rPr>
          <w:rFonts w:ascii="Arial" w:hAnsi="Arial" w:cs="Arial"/>
        </w:rPr>
        <w:t>Esta propuesta responde directamente a la recomendación de la Relatora de recopilar datos fácticos, patrones, testimonios y relaciones causales que permitan verificar los hechos y sustentar el acceso a recursos efectivos y la rendición de cuentas.</w:t>
      </w:r>
    </w:p>
    <w:p w14:paraId="7F8A62E6" w14:textId="77777777" w:rsidR="0050323C" w:rsidRPr="0050323C" w:rsidRDefault="0050323C" w:rsidP="0050323C">
      <w:pPr>
        <w:pStyle w:val="isselectedend"/>
        <w:spacing w:before="0" w:beforeAutospacing="0" w:after="0" w:afterAutospacing="0" w:line="360" w:lineRule="auto"/>
        <w:jc w:val="both"/>
        <w:rPr>
          <w:rFonts w:ascii="Arial" w:hAnsi="Arial" w:cs="Arial"/>
        </w:rPr>
      </w:pPr>
    </w:p>
    <w:p w14:paraId="4C48017F" w14:textId="77777777" w:rsidR="0050323C" w:rsidRPr="0050323C" w:rsidRDefault="002B1661" w:rsidP="0050323C">
      <w:pPr>
        <w:pStyle w:val="isselectedend"/>
        <w:spacing w:before="0" w:beforeAutospacing="0" w:after="0" w:afterAutospacing="0" w:line="360" w:lineRule="auto"/>
        <w:jc w:val="both"/>
        <w:rPr>
          <w:rFonts w:ascii="Arial" w:hAnsi="Arial" w:cs="Arial"/>
          <w:bCs/>
        </w:rPr>
      </w:pPr>
      <w:r w:rsidRPr="0050323C">
        <w:rPr>
          <w:rFonts w:ascii="Arial" w:hAnsi="Arial" w:cs="Arial"/>
        </w:rPr>
        <w:t xml:space="preserve">En segundo lugar, consideramos necesario diseñar una </w:t>
      </w:r>
      <w:r w:rsidRPr="0050323C">
        <w:rPr>
          <w:rStyle w:val="Strong"/>
          <w:rFonts w:ascii="Arial" w:hAnsi="Arial" w:cs="Arial"/>
          <w:bCs w:val="0"/>
        </w:rPr>
        <w:t>estrategia jurídica internacional articulada</w:t>
      </w:r>
      <w:r w:rsidRPr="0050323C">
        <w:rPr>
          <w:rFonts w:ascii="Arial" w:hAnsi="Arial" w:cs="Arial"/>
          <w:bCs/>
        </w:rPr>
        <w:t xml:space="preserve">, que permita utilizar de manera más sistemática los mecanismos, procesos y órganos internacionales disponibles. </w:t>
      </w:r>
    </w:p>
    <w:p w14:paraId="7CCC2CFE" w14:textId="77777777" w:rsidR="0050323C" w:rsidRPr="0050323C" w:rsidRDefault="0050323C" w:rsidP="0050323C">
      <w:pPr>
        <w:pStyle w:val="isselectedend"/>
        <w:spacing w:before="0" w:beforeAutospacing="0" w:after="0" w:afterAutospacing="0" w:line="360" w:lineRule="auto"/>
        <w:jc w:val="both"/>
        <w:rPr>
          <w:rFonts w:ascii="Arial" w:hAnsi="Arial" w:cs="Arial"/>
        </w:rPr>
      </w:pPr>
    </w:p>
    <w:p w14:paraId="70C5E2BC" w14:textId="016E3AA3" w:rsidR="0050323C" w:rsidRPr="0050323C" w:rsidRDefault="002B1661" w:rsidP="0050323C">
      <w:pPr>
        <w:pStyle w:val="isselectedend"/>
        <w:spacing w:before="0" w:beforeAutospacing="0" w:after="0" w:afterAutospacing="0" w:line="360" w:lineRule="auto"/>
        <w:jc w:val="both"/>
        <w:rPr>
          <w:rFonts w:ascii="Arial" w:hAnsi="Arial" w:cs="Arial"/>
        </w:rPr>
      </w:pPr>
      <w:r w:rsidRPr="0050323C">
        <w:rPr>
          <w:rFonts w:ascii="Arial" w:hAnsi="Arial" w:cs="Arial"/>
        </w:rPr>
        <w:t xml:space="preserve">La propia Relatora recomienda recurrir, entre otros espacios, a las instancias judiciales internacionales, los órganos de tratados, el Examen Periódico Universal, </w:t>
      </w:r>
      <w:r w:rsidRPr="0050323C">
        <w:rPr>
          <w:rFonts w:ascii="Arial" w:hAnsi="Arial" w:cs="Arial"/>
        </w:rPr>
        <w:lastRenderedPageBreak/>
        <w:t xml:space="preserve">los mecanismos de Naciones Unidas, el seguimiento de los Objetivos de Desarrollo Sostenible y la Organización Mundial de la Salud. </w:t>
      </w:r>
    </w:p>
    <w:p w14:paraId="640ACDA3" w14:textId="729844D9" w:rsidR="002B1661" w:rsidRPr="0050323C" w:rsidRDefault="002B1661" w:rsidP="0050323C">
      <w:pPr>
        <w:pStyle w:val="isselectedend"/>
        <w:spacing w:before="0" w:beforeAutospacing="0" w:after="0" w:afterAutospacing="0" w:line="360" w:lineRule="auto"/>
        <w:jc w:val="both"/>
        <w:rPr>
          <w:rFonts w:ascii="Arial" w:hAnsi="Arial" w:cs="Arial"/>
        </w:rPr>
      </w:pPr>
      <w:r w:rsidRPr="0050323C">
        <w:rPr>
          <w:rFonts w:ascii="Arial" w:hAnsi="Arial" w:cs="Arial"/>
        </w:rPr>
        <w:t>Esto exige identificar qué tipo de afectaciones pueden ser presentadas ante cada mecanismo, con qué evidencias y bajo qué estándares jurídicos.</w:t>
      </w:r>
    </w:p>
    <w:p w14:paraId="4B750166" w14:textId="77777777" w:rsidR="0050323C" w:rsidRPr="0050323C" w:rsidRDefault="0050323C" w:rsidP="0050323C">
      <w:pPr>
        <w:pStyle w:val="isselectedend"/>
        <w:spacing w:before="0" w:beforeAutospacing="0" w:after="0" w:afterAutospacing="0" w:line="360" w:lineRule="auto"/>
        <w:jc w:val="both"/>
        <w:rPr>
          <w:rFonts w:ascii="Arial" w:hAnsi="Arial" w:cs="Arial"/>
        </w:rPr>
      </w:pPr>
    </w:p>
    <w:p w14:paraId="043EA124" w14:textId="77777777" w:rsidR="0050323C" w:rsidRPr="0050323C" w:rsidRDefault="002B1661" w:rsidP="0050323C">
      <w:pPr>
        <w:pStyle w:val="isselectedend"/>
        <w:spacing w:before="0" w:beforeAutospacing="0" w:after="0" w:afterAutospacing="0" w:line="360" w:lineRule="auto"/>
        <w:jc w:val="both"/>
        <w:rPr>
          <w:rFonts w:ascii="Arial" w:hAnsi="Arial" w:cs="Arial"/>
        </w:rPr>
      </w:pPr>
      <w:r w:rsidRPr="0050323C">
        <w:rPr>
          <w:rFonts w:ascii="Arial" w:hAnsi="Arial" w:cs="Arial"/>
        </w:rPr>
        <w:t xml:space="preserve">Una tercera línea de acción debería dirigirse específicamente contra el </w:t>
      </w:r>
      <w:r w:rsidRPr="0050323C">
        <w:rPr>
          <w:rStyle w:val="Strong"/>
          <w:rFonts w:ascii="Arial" w:hAnsi="Arial" w:cs="Arial"/>
          <w:bCs w:val="0"/>
        </w:rPr>
        <w:t>exceso de cumplimiento o overcompliance</w:t>
      </w:r>
      <w:r w:rsidRPr="0050323C">
        <w:rPr>
          <w:rFonts w:ascii="Arial" w:hAnsi="Arial" w:cs="Arial"/>
          <w:bCs/>
        </w:rPr>
        <w:t>.</w:t>
      </w:r>
      <w:r w:rsidRPr="0050323C">
        <w:rPr>
          <w:rFonts w:ascii="Arial" w:hAnsi="Arial" w:cs="Arial"/>
        </w:rPr>
        <w:t xml:space="preserve"> </w:t>
      </w:r>
    </w:p>
    <w:p w14:paraId="4E519CA8" w14:textId="77777777" w:rsidR="0050323C" w:rsidRPr="0050323C" w:rsidRDefault="0050323C" w:rsidP="0050323C">
      <w:pPr>
        <w:pStyle w:val="isselectedend"/>
        <w:spacing w:before="0" w:beforeAutospacing="0" w:after="0" w:afterAutospacing="0" w:line="360" w:lineRule="auto"/>
        <w:jc w:val="both"/>
        <w:rPr>
          <w:rFonts w:ascii="Arial" w:hAnsi="Arial" w:cs="Arial"/>
        </w:rPr>
      </w:pPr>
    </w:p>
    <w:p w14:paraId="0D7FC62A" w14:textId="773AFFF7" w:rsidR="002B1661" w:rsidRPr="0050323C" w:rsidRDefault="002B1661" w:rsidP="0050323C">
      <w:pPr>
        <w:pStyle w:val="isselectedend"/>
        <w:spacing w:before="0" w:beforeAutospacing="0" w:after="0" w:afterAutospacing="0" w:line="360" w:lineRule="auto"/>
        <w:jc w:val="both"/>
        <w:rPr>
          <w:rFonts w:ascii="Arial" w:hAnsi="Arial" w:cs="Arial"/>
        </w:rPr>
      </w:pPr>
      <w:r w:rsidRPr="0050323C">
        <w:rPr>
          <w:rFonts w:ascii="Arial" w:hAnsi="Arial" w:cs="Arial"/>
        </w:rPr>
        <w:t>Por ello, pudiera promoverse ante terceros Estados la adopción de directrices, mecanismos administrativos de reclamación y garantías jurídicas frente a decisiones empresariales desproporcionadas o discriminatorias basadas únicamente en la nacionalidad cubana o en vínculos legítimos con Cuba.</w:t>
      </w:r>
    </w:p>
    <w:p w14:paraId="3F8DD91D" w14:textId="77777777" w:rsidR="0050323C" w:rsidRPr="0050323C" w:rsidRDefault="0050323C" w:rsidP="0050323C">
      <w:pPr>
        <w:pStyle w:val="isselectedend"/>
        <w:spacing w:before="0" w:beforeAutospacing="0" w:after="0" w:afterAutospacing="0" w:line="360" w:lineRule="auto"/>
        <w:jc w:val="both"/>
        <w:rPr>
          <w:rFonts w:ascii="Arial" w:hAnsi="Arial" w:cs="Arial"/>
        </w:rPr>
      </w:pPr>
    </w:p>
    <w:p w14:paraId="5992D22B" w14:textId="77777777" w:rsidR="0050323C" w:rsidRPr="0050323C" w:rsidRDefault="002B1661" w:rsidP="0050323C">
      <w:pPr>
        <w:pStyle w:val="isselectedend"/>
        <w:spacing w:before="0" w:beforeAutospacing="0" w:after="0" w:afterAutospacing="0" w:line="360" w:lineRule="auto"/>
        <w:jc w:val="both"/>
        <w:rPr>
          <w:rFonts w:ascii="Arial" w:hAnsi="Arial" w:cs="Arial"/>
        </w:rPr>
      </w:pPr>
      <w:r w:rsidRPr="0050323C">
        <w:rPr>
          <w:rFonts w:ascii="Arial" w:hAnsi="Arial" w:cs="Arial"/>
        </w:rPr>
        <w:t xml:space="preserve">En cuarto lugar, proponemos avanzar en el </w:t>
      </w:r>
      <w:r w:rsidRPr="0050323C">
        <w:rPr>
          <w:rFonts w:ascii="Arial" w:hAnsi="Arial" w:cs="Arial"/>
          <w:b/>
          <w:bCs/>
        </w:rPr>
        <w:t xml:space="preserve">estudio de </w:t>
      </w:r>
      <w:r w:rsidRPr="0050323C">
        <w:rPr>
          <w:rStyle w:val="Strong"/>
          <w:rFonts w:ascii="Arial" w:hAnsi="Arial" w:cs="Arial"/>
          <w:b w:val="0"/>
          <w:bCs w:val="0"/>
        </w:rPr>
        <w:t>mecanismos jurídicos de reparación</w:t>
      </w:r>
      <w:r w:rsidRPr="0050323C">
        <w:rPr>
          <w:rFonts w:ascii="Arial" w:hAnsi="Arial" w:cs="Arial"/>
        </w:rPr>
        <w:t xml:space="preserve">. La propia Relatora exhorta a la Oficina del Alto Comisionado, los órganos de tratados, OCHA y otros mecanismos de Naciones Unidas a buscar vías para obtener indemnización y reparación para las víctimas de violaciones de derechos humanos resultantes de estas medidas. </w:t>
      </w:r>
    </w:p>
    <w:p w14:paraId="384B423E" w14:textId="77777777" w:rsidR="0050323C" w:rsidRPr="0050323C" w:rsidRDefault="0050323C" w:rsidP="0050323C">
      <w:pPr>
        <w:pStyle w:val="isselectedend"/>
        <w:spacing w:before="0" w:beforeAutospacing="0" w:after="0" w:afterAutospacing="0" w:line="360" w:lineRule="auto"/>
        <w:jc w:val="both"/>
        <w:rPr>
          <w:rFonts w:ascii="Arial" w:hAnsi="Arial" w:cs="Arial"/>
        </w:rPr>
      </w:pPr>
    </w:p>
    <w:p w14:paraId="79E1F041" w14:textId="31EC840E" w:rsidR="002B1661" w:rsidRPr="0050323C" w:rsidRDefault="002B1661" w:rsidP="0050323C">
      <w:pPr>
        <w:pStyle w:val="isselectedend"/>
        <w:spacing w:before="0" w:beforeAutospacing="0" w:after="0" w:afterAutospacing="0" w:line="360" w:lineRule="auto"/>
        <w:jc w:val="both"/>
        <w:rPr>
          <w:rFonts w:ascii="Arial" w:hAnsi="Arial" w:cs="Arial"/>
        </w:rPr>
      </w:pPr>
      <w:r w:rsidRPr="0050323C">
        <w:rPr>
          <w:rFonts w:ascii="Arial" w:hAnsi="Arial" w:cs="Arial"/>
        </w:rPr>
        <w:t>Esto permitiría comenzar a trabajar técnicamente en posibles formas de restitución, compensación, satisfacción y garantías de no repetición, así como en los requisitos probatorios necesarios para hacerlas exigibles.</w:t>
      </w:r>
    </w:p>
    <w:p w14:paraId="5499B99F" w14:textId="77777777" w:rsidR="0050323C" w:rsidRPr="0050323C" w:rsidRDefault="0050323C" w:rsidP="0050323C">
      <w:pPr>
        <w:pStyle w:val="isselectedend"/>
        <w:spacing w:before="0" w:beforeAutospacing="0" w:after="0" w:afterAutospacing="0" w:line="360" w:lineRule="auto"/>
        <w:jc w:val="both"/>
        <w:rPr>
          <w:rFonts w:ascii="Arial" w:hAnsi="Arial" w:cs="Arial"/>
        </w:rPr>
      </w:pPr>
    </w:p>
    <w:p w14:paraId="0191DFA0" w14:textId="2D7AA1B0" w:rsidR="0050323C" w:rsidRPr="0050323C" w:rsidRDefault="002B1661" w:rsidP="0050323C">
      <w:pPr>
        <w:pStyle w:val="isselectedend"/>
        <w:spacing w:before="0" w:beforeAutospacing="0" w:after="0" w:afterAutospacing="0" w:line="360" w:lineRule="auto"/>
        <w:jc w:val="both"/>
        <w:rPr>
          <w:rFonts w:ascii="Arial" w:hAnsi="Arial" w:cs="Arial"/>
        </w:rPr>
      </w:pPr>
      <w:r w:rsidRPr="0050323C">
        <w:rPr>
          <w:rFonts w:ascii="Arial" w:hAnsi="Arial" w:cs="Arial"/>
        </w:rPr>
        <w:t xml:space="preserve">Finalmente, entendemos indispensable que todo este proceso incorpore un </w:t>
      </w:r>
      <w:r w:rsidRPr="0050323C">
        <w:rPr>
          <w:rStyle w:val="Strong"/>
          <w:rFonts w:ascii="Arial" w:hAnsi="Arial" w:cs="Arial"/>
          <w:b w:val="0"/>
        </w:rPr>
        <w:t>enfoque diferenciado de derechos humanos, género y vulnerabilidad</w:t>
      </w:r>
      <w:r w:rsidRPr="0050323C">
        <w:rPr>
          <w:rFonts w:ascii="Arial" w:hAnsi="Arial" w:cs="Arial"/>
          <w:b/>
        </w:rPr>
        <w:t>.</w:t>
      </w:r>
      <w:r w:rsidRPr="0050323C">
        <w:rPr>
          <w:rFonts w:ascii="Arial" w:hAnsi="Arial" w:cs="Arial"/>
        </w:rPr>
        <w:t xml:space="preserve"> </w:t>
      </w:r>
    </w:p>
    <w:p w14:paraId="352DAE31" w14:textId="77777777" w:rsidR="0050323C" w:rsidRPr="0050323C" w:rsidRDefault="0050323C" w:rsidP="0050323C">
      <w:pPr>
        <w:pStyle w:val="isselectedend"/>
        <w:spacing w:before="0" w:beforeAutospacing="0" w:after="0" w:afterAutospacing="0" w:line="360" w:lineRule="auto"/>
        <w:jc w:val="both"/>
        <w:rPr>
          <w:rFonts w:ascii="Arial" w:hAnsi="Arial" w:cs="Arial"/>
        </w:rPr>
      </w:pPr>
    </w:p>
    <w:p w14:paraId="3B57444C" w14:textId="1BF3D9DA" w:rsidR="0050323C" w:rsidRPr="0050323C" w:rsidRDefault="002B1661" w:rsidP="0050323C">
      <w:pPr>
        <w:pStyle w:val="isselectedend"/>
        <w:spacing w:before="0" w:beforeAutospacing="0" w:after="0" w:afterAutospacing="0" w:line="360" w:lineRule="auto"/>
        <w:jc w:val="both"/>
        <w:rPr>
          <w:rFonts w:ascii="Arial" w:hAnsi="Arial" w:cs="Arial"/>
        </w:rPr>
      </w:pPr>
      <w:r w:rsidRPr="0050323C">
        <w:rPr>
          <w:rFonts w:ascii="Arial" w:hAnsi="Arial" w:cs="Arial"/>
        </w:rPr>
        <w:t xml:space="preserve">El informe reconoce expresamente que los efectos son particularmente graves para las personas en situación de pobreza, las mujeres, </w:t>
      </w:r>
      <w:proofErr w:type="gramStart"/>
      <w:r w:rsidR="0050323C" w:rsidRPr="0050323C">
        <w:rPr>
          <w:rFonts w:ascii="Arial" w:hAnsi="Arial" w:cs="Arial"/>
        </w:rPr>
        <w:t>los niños y las niñas</w:t>
      </w:r>
      <w:proofErr w:type="gramEnd"/>
      <w:r w:rsidRPr="0050323C">
        <w:rPr>
          <w:rFonts w:ascii="Arial" w:hAnsi="Arial" w:cs="Arial"/>
        </w:rPr>
        <w:t xml:space="preserve">, las personas mayores, las personas con discapacidad y quienes padecen enfermedades crónicas. </w:t>
      </w:r>
    </w:p>
    <w:p w14:paraId="4A9ED260" w14:textId="77777777" w:rsidR="0050323C" w:rsidRPr="0050323C" w:rsidRDefault="0050323C" w:rsidP="0050323C">
      <w:pPr>
        <w:pStyle w:val="isselectedend"/>
        <w:spacing w:before="0" w:beforeAutospacing="0" w:after="0" w:afterAutospacing="0" w:line="360" w:lineRule="auto"/>
        <w:jc w:val="both"/>
        <w:rPr>
          <w:rFonts w:ascii="Arial" w:hAnsi="Arial" w:cs="Arial"/>
        </w:rPr>
      </w:pPr>
    </w:p>
    <w:p w14:paraId="6BCAD3E3" w14:textId="1DE3E397" w:rsidR="002B1661" w:rsidRPr="0050323C" w:rsidRDefault="002B1661" w:rsidP="0050323C">
      <w:pPr>
        <w:pStyle w:val="isselectedend"/>
        <w:spacing w:before="0" w:beforeAutospacing="0" w:after="0" w:afterAutospacing="0" w:line="360" w:lineRule="auto"/>
        <w:jc w:val="both"/>
        <w:rPr>
          <w:rFonts w:ascii="Arial" w:hAnsi="Arial" w:cs="Arial"/>
        </w:rPr>
      </w:pPr>
      <w:r w:rsidRPr="0050323C">
        <w:rPr>
          <w:rFonts w:ascii="Arial" w:hAnsi="Arial" w:cs="Arial"/>
        </w:rPr>
        <w:lastRenderedPageBreak/>
        <w:t>Por tanto, la documentación y la argumentación jurídica deberían mostrar no solo el daño económico general, sino cómo determinadas medidas terminan afectando concretamente derechos como la salud, la alimentación, la educación, el agua, la igualdad y la no discriminación.</w:t>
      </w:r>
    </w:p>
    <w:p w14:paraId="03E5D557" w14:textId="77777777" w:rsidR="0050323C" w:rsidRPr="0050323C" w:rsidRDefault="0050323C" w:rsidP="0050323C">
      <w:pPr>
        <w:pStyle w:val="isselectedend"/>
        <w:spacing w:before="0" w:beforeAutospacing="0" w:after="0" w:afterAutospacing="0" w:line="360" w:lineRule="auto"/>
        <w:jc w:val="both"/>
        <w:rPr>
          <w:rFonts w:ascii="Arial" w:hAnsi="Arial" w:cs="Arial"/>
        </w:rPr>
      </w:pPr>
    </w:p>
    <w:p w14:paraId="5F2FA96B" w14:textId="77777777" w:rsidR="002B1661" w:rsidRPr="0050323C" w:rsidRDefault="002B1661" w:rsidP="0050323C">
      <w:pPr>
        <w:pStyle w:val="NormalWeb"/>
        <w:spacing w:before="0" w:beforeAutospacing="0" w:after="0" w:afterAutospacing="0" w:line="360" w:lineRule="auto"/>
        <w:jc w:val="both"/>
        <w:rPr>
          <w:rFonts w:ascii="Arial" w:hAnsi="Arial" w:cs="Arial"/>
        </w:rPr>
      </w:pPr>
      <w:r w:rsidRPr="0050323C">
        <w:rPr>
          <w:rFonts w:ascii="Arial" w:hAnsi="Arial" w:cs="Arial"/>
        </w:rPr>
        <w:t xml:space="preserve">Desde la Unión Nacional de Juristas de Cuba pensamos, en definitiva, que el principal desafío ahora es </w:t>
      </w:r>
      <w:r w:rsidRPr="0050323C">
        <w:rPr>
          <w:rStyle w:val="Strong"/>
          <w:rFonts w:ascii="Arial" w:hAnsi="Arial" w:cs="Arial"/>
          <w:b w:val="0"/>
        </w:rPr>
        <w:t>pasar de la constatación del impacto a la construcción de responsabilidad jurídica</w:t>
      </w:r>
      <w:r w:rsidRPr="0050323C">
        <w:rPr>
          <w:rFonts w:ascii="Arial" w:hAnsi="Arial" w:cs="Arial"/>
          <w:b/>
        </w:rPr>
        <w:t>.</w:t>
      </w:r>
      <w:r w:rsidRPr="0050323C">
        <w:rPr>
          <w:rFonts w:ascii="Arial" w:hAnsi="Arial" w:cs="Arial"/>
        </w:rPr>
        <w:t xml:space="preserve"> Para ello se requiere evidencia, identificación de víctimas, demostración de relaciones de causalidad, utilización estratégica de los mecanismos internacionales y elaboración de vías efectivas de reparación. Ese puede ser uno de los aportes más concretos que, desde el Derecho, hagamos a la implementación de las recomendaciones formuladas por la Relatora Especial.</w:t>
      </w:r>
    </w:p>
    <w:p w14:paraId="428354BF" w14:textId="77777777" w:rsidR="002C3E9A" w:rsidRPr="0050323C" w:rsidRDefault="002C3E9A" w:rsidP="0050323C">
      <w:pPr>
        <w:spacing w:after="0" w:line="360" w:lineRule="auto"/>
        <w:jc w:val="both"/>
        <w:rPr>
          <w:rFonts w:ascii="Arial" w:hAnsi="Arial" w:cs="Arial"/>
          <w:sz w:val="20"/>
          <w:szCs w:val="20"/>
        </w:rPr>
      </w:pPr>
    </w:p>
    <w:sectPr w:rsidR="002C3E9A" w:rsidRPr="0050323C">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661"/>
    <w:rsid w:val="00281F62"/>
    <w:rsid w:val="002B1661"/>
    <w:rsid w:val="002C3E9A"/>
    <w:rsid w:val="004F612C"/>
    <w:rsid w:val="0050323C"/>
    <w:rsid w:val="00D97594"/>
    <w:rsid w:val="00EE7001"/>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7AE"/>
  <w15:chartTrackingRefBased/>
  <w15:docId w15:val="{F7232EDB-63A1-42C9-9B4C-03E3BF77F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2B1661"/>
    <w:pPr>
      <w:spacing w:before="100" w:beforeAutospacing="1" w:after="100" w:afterAutospacing="1" w:line="240" w:lineRule="auto"/>
    </w:pPr>
    <w:rPr>
      <w:rFonts w:ascii="Times New Roman" w:eastAsia="Times New Roman" w:hAnsi="Times New Roman" w:cs="Times New Roman"/>
      <w:sz w:val="24"/>
      <w:szCs w:val="24"/>
      <w:lang w:eastAsia="es-US"/>
    </w:rPr>
  </w:style>
  <w:style w:type="character" w:styleId="Strong">
    <w:name w:val="Strong"/>
    <w:basedOn w:val="DefaultParagraphFont"/>
    <w:uiPriority w:val="22"/>
    <w:qFormat/>
    <w:rsid w:val="002B1661"/>
    <w:rPr>
      <w:b/>
      <w:bCs/>
    </w:rPr>
  </w:style>
  <w:style w:type="paragraph" w:styleId="NormalWeb">
    <w:name w:val="Normal (Web)"/>
    <w:basedOn w:val="Normal"/>
    <w:uiPriority w:val="99"/>
    <w:semiHidden/>
    <w:unhideWhenUsed/>
    <w:rsid w:val="002B1661"/>
    <w:pPr>
      <w:spacing w:before="100" w:beforeAutospacing="1" w:after="100" w:afterAutospacing="1" w:line="240" w:lineRule="auto"/>
    </w:pPr>
    <w:rPr>
      <w:rFonts w:ascii="Times New Roman" w:eastAsia="Times New Roman" w:hAnsi="Times New Roman" w:cs="Times New Roman"/>
      <w:sz w:val="24"/>
      <w:szCs w:val="24"/>
      <w:lang w:eastAsia="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82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634</Words>
  <Characters>3487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Yamila Gonzalez Ferrer</dc:creator>
  <cp:keywords/>
  <dc:description/>
  <cp:lastModifiedBy>Aime Triana</cp:lastModifiedBy>
  <cp:revision>4</cp:revision>
  <dcterms:created xsi:type="dcterms:W3CDTF">2026-09-06T18:27:00Z</dcterms:created>
  <dcterms:modified xsi:type="dcterms:W3CDTF">2026-09-13T21:42:00Z</dcterms:modified>
</cp:coreProperties>
</file>